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EE1DCC" w:rsidRPr="00595D86" w14:paraId="085ACAE0" w14:textId="77777777" w:rsidTr="00E66CD3">
        <w:tc>
          <w:tcPr>
            <w:tcW w:w="2448" w:type="dxa"/>
          </w:tcPr>
          <w:p w14:paraId="2D5CC344" w14:textId="77777777" w:rsidR="00EE1DCC" w:rsidRPr="00595D86" w:rsidRDefault="00EE1DCC" w:rsidP="00E66CD3">
            <w:pPr>
              <w:pStyle w:val="Heading3"/>
              <w:rPr>
                <w:rFonts w:ascii="Times" w:hAnsi="Times" w:cs="Times"/>
              </w:rPr>
            </w:pPr>
          </w:p>
        </w:tc>
        <w:tc>
          <w:tcPr>
            <w:tcW w:w="5130" w:type="dxa"/>
          </w:tcPr>
          <w:p w14:paraId="5ABBCDFC" w14:textId="77777777" w:rsidR="00EE1DCC" w:rsidRPr="00595D86" w:rsidRDefault="00EE1DCC" w:rsidP="00E66CD3">
            <w:pPr>
              <w:jc w:val="center"/>
              <w:rPr>
                <w:rFonts w:ascii="Times" w:hAnsi="Times" w:cs="Times"/>
                <w:b/>
                <w:sz w:val="26"/>
                <w:szCs w:val="26"/>
              </w:rPr>
            </w:pPr>
            <w:r w:rsidRPr="00595D86">
              <w:rPr>
                <w:rFonts w:ascii="Times" w:hAnsi="Times" w:cs="Times"/>
                <w:b/>
                <w:sz w:val="26"/>
                <w:szCs w:val="26"/>
              </w:rPr>
              <w:t>PENNSYLVANIA</w:t>
            </w:r>
          </w:p>
          <w:p w14:paraId="71DA24EB" w14:textId="77777777" w:rsidR="00EE1DCC" w:rsidRPr="00595D86" w:rsidRDefault="00EE1DCC" w:rsidP="00E66CD3">
            <w:pPr>
              <w:jc w:val="center"/>
              <w:rPr>
                <w:rFonts w:ascii="Times" w:hAnsi="Times" w:cs="Times"/>
                <w:b/>
                <w:sz w:val="26"/>
                <w:szCs w:val="26"/>
              </w:rPr>
            </w:pPr>
            <w:r w:rsidRPr="00595D86">
              <w:rPr>
                <w:rFonts w:ascii="Times" w:hAnsi="Times" w:cs="Times"/>
                <w:b/>
                <w:sz w:val="26"/>
                <w:szCs w:val="26"/>
              </w:rPr>
              <w:t>PUBLIC UTILITY COMMISSION</w:t>
            </w:r>
          </w:p>
          <w:p w14:paraId="58C74C8C" w14:textId="77777777" w:rsidR="00EE1DCC" w:rsidRPr="00595D86" w:rsidRDefault="00EE1DCC" w:rsidP="00E66CD3">
            <w:pPr>
              <w:pStyle w:val="StyleCentered"/>
              <w:rPr>
                <w:rFonts w:ascii="Times" w:hAnsi="Times" w:cs="Times"/>
                <w:b/>
                <w:sz w:val="26"/>
                <w:szCs w:val="26"/>
              </w:rPr>
            </w:pPr>
            <w:r w:rsidRPr="00595D86">
              <w:rPr>
                <w:rFonts w:ascii="Times" w:hAnsi="Times" w:cs="Times"/>
                <w:b/>
                <w:sz w:val="26"/>
                <w:szCs w:val="26"/>
              </w:rPr>
              <w:t>Harrisburg, PA  17105-3265</w:t>
            </w:r>
          </w:p>
        </w:tc>
        <w:tc>
          <w:tcPr>
            <w:tcW w:w="2700" w:type="dxa"/>
          </w:tcPr>
          <w:p w14:paraId="70D07664" w14:textId="77777777" w:rsidR="00EE1DCC" w:rsidRPr="00595D86" w:rsidRDefault="00EE1DCC" w:rsidP="00E66CD3">
            <w:pPr>
              <w:rPr>
                <w:rFonts w:ascii="Times" w:hAnsi="Times" w:cs="Times"/>
                <w:sz w:val="26"/>
                <w:szCs w:val="26"/>
              </w:rPr>
            </w:pPr>
          </w:p>
        </w:tc>
      </w:tr>
    </w:tbl>
    <w:p w14:paraId="1E25A042" w14:textId="77777777" w:rsidR="00EE1DCC" w:rsidRPr="00595D86" w:rsidRDefault="00EE1DCC" w:rsidP="00EE1DCC">
      <w:pPr>
        <w:rPr>
          <w:rFonts w:ascii="Times" w:hAnsi="Times" w:cs="Times"/>
          <w:sz w:val="26"/>
          <w:szCs w:val="26"/>
        </w:rPr>
      </w:pPr>
    </w:p>
    <w:tbl>
      <w:tblPr>
        <w:tblW w:w="0" w:type="auto"/>
        <w:tblLayout w:type="fixed"/>
        <w:tblLook w:val="0000" w:firstRow="0" w:lastRow="0" w:firstColumn="0" w:lastColumn="0" w:noHBand="0" w:noVBand="0"/>
      </w:tblPr>
      <w:tblGrid>
        <w:gridCol w:w="5148"/>
        <w:gridCol w:w="5148"/>
      </w:tblGrid>
      <w:tr w:rsidR="00EE1DCC" w:rsidRPr="00595D86" w14:paraId="72B63C03" w14:textId="77777777" w:rsidTr="00E66CD3">
        <w:tc>
          <w:tcPr>
            <w:tcW w:w="5148" w:type="dxa"/>
          </w:tcPr>
          <w:p w14:paraId="2481D640" w14:textId="77777777" w:rsidR="00EE1DCC" w:rsidRPr="00595D86" w:rsidRDefault="00EE1DCC" w:rsidP="00E66CD3">
            <w:pPr>
              <w:rPr>
                <w:rFonts w:ascii="Times" w:hAnsi="Times" w:cs="Times"/>
                <w:sz w:val="26"/>
                <w:szCs w:val="26"/>
              </w:rPr>
            </w:pPr>
          </w:p>
        </w:tc>
        <w:tc>
          <w:tcPr>
            <w:tcW w:w="5148" w:type="dxa"/>
          </w:tcPr>
          <w:p w14:paraId="240519A9" w14:textId="7551B0AC" w:rsidR="00EE1DCC" w:rsidRPr="00595D86" w:rsidRDefault="00EE1DCC" w:rsidP="00745182">
            <w:pPr>
              <w:ind w:firstLine="612"/>
              <w:rPr>
                <w:rFonts w:ascii="Times" w:hAnsi="Times" w:cs="Times"/>
                <w:sz w:val="26"/>
                <w:szCs w:val="26"/>
              </w:rPr>
            </w:pPr>
            <w:r w:rsidRPr="00595D86">
              <w:rPr>
                <w:rFonts w:ascii="Times" w:hAnsi="Times" w:cs="Times"/>
                <w:sz w:val="26"/>
                <w:szCs w:val="26"/>
              </w:rPr>
              <w:t xml:space="preserve">Public Meeting held </w:t>
            </w:r>
            <w:r w:rsidR="00E61CCC">
              <w:rPr>
                <w:rFonts w:ascii="Times" w:hAnsi="Times" w:cs="Times"/>
                <w:sz w:val="26"/>
                <w:szCs w:val="26"/>
              </w:rPr>
              <w:t>November</w:t>
            </w:r>
            <w:r w:rsidR="00C22828">
              <w:rPr>
                <w:rFonts w:ascii="Times" w:hAnsi="Times" w:cs="Times"/>
                <w:sz w:val="26"/>
                <w:szCs w:val="26"/>
              </w:rPr>
              <w:t xml:space="preserve"> </w:t>
            </w:r>
            <w:r w:rsidR="00E61CCC">
              <w:rPr>
                <w:rFonts w:ascii="Times" w:hAnsi="Times" w:cs="Times"/>
                <w:sz w:val="26"/>
                <w:szCs w:val="26"/>
              </w:rPr>
              <w:t>1</w:t>
            </w:r>
            <w:r w:rsidR="00C22828">
              <w:rPr>
                <w:rFonts w:ascii="Times" w:hAnsi="Times" w:cs="Times"/>
                <w:sz w:val="26"/>
                <w:szCs w:val="26"/>
              </w:rPr>
              <w:t>8</w:t>
            </w:r>
            <w:r w:rsidR="004966B7">
              <w:rPr>
                <w:rFonts w:ascii="Times" w:hAnsi="Times" w:cs="Times"/>
                <w:sz w:val="26"/>
                <w:szCs w:val="26"/>
              </w:rPr>
              <w:t>, 20</w:t>
            </w:r>
            <w:r w:rsidR="00FF7E1B">
              <w:rPr>
                <w:rFonts w:ascii="Times" w:hAnsi="Times" w:cs="Times"/>
                <w:sz w:val="26"/>
                <w:szCs w:val="26"/>
              </w:rPr>
              <w:t>21</w:t>
            </w:r>
          </w:p>
        </w:tc>
      </w:tr>
      <w:tr w:rsidR="00EE1DCC" w:rsidRPr="00595D86" w14:paraId="4D3445D0" w14:textId="77777777" w:rsidTr="00E66CD3">
        <w:tc>
          <w:tcPr>
            <w:tcW w:w="5148" w:type="dxa"/>
          </w:tcPr>
          <w:p w14:paraId="54293434" w14:textId="77777777" w:rsidR="00EE1DCC" w:rsidRPr="00595D86" w:rsidRDefault="00EE1DCC" w:rsidP="00E66CD3">
            <w:pPr>
              <w:rPr>
                <w:rFonts w:ascii="Times" w:hAnsi="Times" w:cs="Times"/>
                <w:sz w:val="26"/>
                <w:szCs w:val="26"/>
              </w:rPr>
            </w:pPr>
            <w:r w:rsidRPr="00595D86">
              <w:rPr>
                <w:rFonts w:ascii="Times" w:hAnsi="Times" w:cs="Times"/>
                <w:sz w:val="26"/>
                <w:szCs w:val="26"/>
              </w:rPr>
              <w:t>Commissioners Present:</w:t>
            </w:r>
          </w:p>
        </w:tc>
        <w:tc>
          <w:tcPr>
            <w:tcW w:w="5148" w:type="dxa"/>
          </w:tcPr>
          <w:p w14:paraId="4BC48522" w14:textId="77777777" w:rsidR="00EE1DCC" w:rsidRPr="00595D86" w:rsidRDefault="00EE1DCC" w:rsidP="00E66CD3">
            <w:pPr>
              <w:rPr>
                <w:rFonts w:ascii="Times" w:hAnsi="Times" w:cs="Times"/>
                <w:sz w:val="26"/>
                <w:szCs w:val="26"/>
              </w:rPr>
            </w:pPr>
          </w:p>
        </w:tc>
      </w:tr>
    </w:tbl>
    <w:p w14:paraId="69671BF2" w14:textId="77777777" w:rsidR="00EE1DCC" w:rsidRPr="00595D86" w:rsidRDefault="00EE1DCC" w:rsidP="00EE1DCC">
      <w:pPr>
        <w:rPr>
          <w:rFonts w:ascii="Times" w:hAnsi="Times" w:cs="Times"/>
          <w:sz w:val="26"/>
          <w:szCs w:val="26"/>
        </w:rPr>
      </w:pPr>
    </w:p>
    <w:tbl>
      <w:tblPr>
        <w:tblW w:w="10296" w:type="dxa"/>
        <w:tblLayout w:type="fixed"/>
        <w:tblLook w:val="0000" w:firstRow="0" w:lastRow="0" w:firstColumn="0" w:lastColumn="0" w:noHBand="0" w:noVBand="0"/>
      </w:tblPr>
      <w:tblGrid>
        <w:gridCol w:w="6048"/>
        <w:gridCol w:w="3222"/>
        <w:gridCol w:w="108"/>
        <w:gridCol w:w="918"/>
      </w:tblGrid>
      <w:tr w:rsidR="00EE1DCC" w:rsidRPr="00595D86" w14:paraId="2DA5529E" w14:textId="77777777" w:rsidTr="00E66CD3">
        <w:tc>
          <w:tcPr>
            <w:tcW w:w="9378" w:type="dxa"/>
            <w:gridSpan w:val="3"/>
          </w:tcPr>
          <w:p w14:paraId="33A7F585" w14:textId="2D808713" w:rsidR="00EE1DCC" w:rsidRPr="00595D86" w:rsidRDefault="004966B7" w:rsidP="00014690">
            <w:pPr>
              <w:overflowPunct/>
              <w:textAlignment w:val="auto"/>
              <w:rPr>
                <w:rFonts w:ascii="Times" w:hAnsi="Times" w:cs="Times"/>
                <w:sz w:val="26"/>
                <w:szCs w:val="26"/>
              </w:rPr>
            </w:pPr>
            <w:r>
              <w:rPr>
                <w:rFonts w:ascii="Times" w:hAnsi="Times" w:cs="Times"/>
                <w:sz w:val="26"/>
                <w:szCs w:val="26"/>
              </w:rPr>
              <w:t>Gladys Brown</w:t>
            </w:r>
            <w:r w:rsidR="00627E7C">
              <w:rPr>
                <w:rFonts w:ascii="Times" w:hAnsi="Times" w:cs="Times"/>
                <w:sz w:val="26"/>
                <w:szCs w:val="26"/>
              </w:rPr>
              <w:t xml:space="preserve"> </w:t>
            </w:r>
            <w:proofErr w:type="spellStart"/>
            <w:r w:rsidR="00627E7C">
              <w:rPr>
                <w:rFonts w:ascii="Times" w:hAnsi="Times" w:cs="Times"/>
                <w:sz w:val="26"/>
                <w:szCs w:val="26"/>
              </w:rPr>
              <w:t>Dutrieu</w:t>
            </w:r>
            <w:r w:rsidR="00563F54">
              <w:rPr>
                <w:rFonts w:ascii="Times" w:hAnsi="Times" w:cs="Times"/>
                <w:sz w:val="26"/>
                <w:szCs w:val="26"/>
              </w:rPr>
              <w:t>i</w:t>
            </w:r>
            <w:r w:rsidR="00627E7C">
              <w:rPr>
                <w:rFonts w:ascii="Times" w:hAnsi="Times" w:cs="Times"/>
                <w:sz w:val="26"/>
                <w:szCs w:val="26"/>
              </w:rPr>
              <w:t>lle</w:t>
            </w:r>
            <w:proofErr w:type="spellEnd"/>
            <w:r w:rsidR="00EE1DCC" w:rsidRPr="00595D86">
              <w:rPr>
                <w:rFonts w:ascii="Times" w:hAnsi="Times" w:cs="Times"/>
                <w:sz w:val="26"/>
                <w:szCs w:val="26"/>
              </w:rPr>
              <w:t>, Chairman</w:t>
            </w:r>
          </w:p>
        </w:tc>
        <w:tc>
          <w:tcPr>
            <w:tcW w:w="918" w:type="dxa"/>
          </w:tcPr>
          <w:p w14:paraId="4D82CAA7" w14:textId="77777777" w:rsidR="00EE1DCC" w:rsidRPr="00595D86" w:rsidRDefault="00EE1DCC" w:rsidP="00E66CD3">
            <w:pPr>
              <w:rPr>
                <w:rFonts w:ascii="Times" w:hAnsi="Times" w:cs="Times"/>
                <w:sz w:val="26"/>
                <w:szCs w:val="26"/>
              </w:rPr>
            </w:pPr>
          </w:p>
        </w:tc>
      </w:tr>
      <w:tr w:rsidR="00EE1DCC" w:rsidRPr="00595D86" w14:paraId="049A73BD" w14:textId="77777777" w:rsidTr="00E66CD3">
        <w:tc>
          <w:tcPr>
            <w:tcW w:w="9378" w:type="dxa"/>
            <w:gridSpan w:val="3"/>
          </w:tcPr>
          <w:p w14:paraId="3A5F4B18" w14:textId="61229621" w:rsidR="00EE1DCC" w:rsidRPr="00595D86" w:rsidRDefault="00794E8B" w:rsidP="00014690">
            <w:pPr>
              <w:overflowPunct/>
              <w:textAlignment w:val="auto"/>
              <w:rPr>
                <w:rFonts w:ascii="Times" w:hAnsi="Times" w:cs="Times"/>
                <w:sz w:val="26"/>
                <w:szCs w:val="26"/>
              </w:rPr>
            </w:pPr>
            <w:r w:rsidRPr="00595D86">
              <w:rPr>
                <w:rFonts w:ascii="Times" w:hAnsi="Times" w:cs="Times"/>
                <w:sz w:val="26"/>
                <w:szCs w:val="26"/>
              </w:rPr>
              <w:t>John F. Coleman, Jr.</w:t>
            </w:r>
            <w:r w:rsidR="004966B7">
              <w:rPr>
                <w:rFonts w:ascii="Times" w:hAnsi="Times" w:cs="Times"/>
                <w:sz w:val="26"/>
                <w:szCs w:val="26"/>
              </w:rPr>
              <w:t>,</w:t>
            </w:r>
            <w:r w:rsidR="00EE1DCC" w:rsidRPr="00595D86">
              <w:rPr>
                <w:rFonts w:ascii="Times" w:hAnsi="Times" w:cs="Times"/>
                <w:sz w:val="26"/>
                <w:szCs w:val="26"/>
              </w:rPr>
              <w:t xml:space="preserve"> Vice Chairman</w:t>
            </w:r>
          </w:p>
        </w:tc>
        <w:tc>
          <w:tcPr>
            <w:tcW w:w="918" w:type="dxa"/>
          </w:tcPr>
          <w:p w14:paraId="74D0AD6F" w14:textId="77777777" w:rsidR="00EE1DCC" w:rsidRPr="00595D86" w:rsidRDefault="00EE1DCC" w:rsidP="00E66CD3">
            <w:pPr>
              <w:rPr>
                <w:rFonts w:ascii="Times" w:hAnsi="Times" w:cs="Times"/>
                <w:sz w:val="26"/>
                <w:szCs w:val="26"/>
              </w:rPr>
            </w:pPr>
          </w:p>
        </w:tc>
      </w:tr>
      <w:tr w:rsidR="00FF0365" w:rsidRPr="00595D86" w14:paraId="2E19C77D" w14:textId="77777777" w:rsidTr="00E66CD3">
        <w:tc>
          <w:tcPr>
            <w:tcW w:w="9378" w:type="dxa"/>
            <w:gridSpan w:val="3"/>
          </w:tcPr>
          <w:p w14:paraId="387B4ABE" w14:textId="5F7F6312" w:rsidR="00FF0365" w:rsidRPr="00595D86" w:rsidRDefault="00FF0365" w:rsidP="00014690">
            <w:pPr>
              <w:overflowPunct/>
              <w:textAlignment w:val="auto"/>
              <w:rPr>
                <w:rFonts w:ascii="Times" w:hAnsi="Times" w:cs="Times"/>
                <w:sz w:val="26"/>
                <w:szCs w:val="26"/>
              </w:rPr>
            </w:pPr>
            <w:r>
              <w:rPr>
                <w:rFonts w:ascii="Times" w:hAnsi="Times" w:cs="Times"/>
                <w:sz w:val="26"/>
                <w:szCs w:val="26"/>
              </w:rPr>
              <w:t xml:space="preserve">Ralph V. </w:t>
            </w:r>
            <w:proofErr w:type="spellStart"/>
            <w:r>
              <w:rPr>
                <w:rFonts w:ascii="Times" w:hAnsi="Times" w:cs="Times"/>
                <w:sz w:val="26"/>
                <w:szCs w:val="26"/>
              </w:rPr>
              <w:t>Yanora</w:t>
            </w:r>
            <w:proofErr w:type="spellEnd"/>
          </w:p>
        </w:tc>
        <w:tc>
          <w:tcPr>
            <w:tcW w:w="918" w:type="dxa"/>
          </w:tcPr>
          <w:p w14:paraId="6CEF298C" w14:textId="77777777" w:rsidR="00FF0365" w:rsidRPr="00595D86" w:rsidRDefault="00FF0365" w:rsidP="00E66CD3">
            <w:pPr>
              <w:rPr>
                <w:rFonts w:ascii="Times" w:hAnsi="Times" w:cs="Times"/>
                <w:sz w:val="26"/>
                <w:szCs w:val="26"/>
              </w:rPr>
            </w:pPr>
          </w:p>
        </w:tc>
      </w:tr>
      <w:tr w:rsidR="00FF0365" w:rsidRPr="00595D86" w14:paraId="156AC34D" w14:textId="77777777" w:rsidTr="00C131A6">
        <w:trPr>
          <w:gridAfter w:val="2"/>
          <w:wAfter w:w="1026" w:type="dxa"/>
        </w:trPr>
        <w:tc>
          <w:tcPr>
            <w:tcW w:w="6048" w:type="dxa"/>
          </w:tcPr>
          <w:p w14:paraId="2E06C1FB" w14:textId="3508943D" w:rsidR="00FF0365" w:rsidRPr="00595D86" w:rsidRDefault="00FF0365" w:rsidP="00E66CD3">
            <w:pPr>
              <w:ind w:left="720"/>
              <w:rPr>
                <w:rFonts w:ascii="Times" w:hAnsi="Times" w:cs="Times"/>
                <w:sz w:val="26"/>
                <w:szCs w:val="26"/>
              </w:rPr>
            </w:pPr>
          </w:p>
        </w:tc>
        <w:tc>
          <w:tcPr>
            <w:tcW w:w="3222" w:type="dxa"/>
          </w:tcPr>
          <w:p w14:paraId="544C7D2B" w14:textId="77777777" w:rsidR="00FF0365" w:rsidRPr="00595D86" w:rsidRDefault="00FF0365" w:rsidP="00E66CD3">
            <w:pPr>
              <w:rPr>
                <w:rFonts w:ascii="Times" w:hAnsi="Times" w:cs="Times"/>
                <w:sz w:val="26"/>
                <w:szCs w:val="26"/>
              </w:rPr>
            </w:pPr>
          </w:p>
        </w:tc>
      </w:tr>
      <w:tr w:rsidR="00FF0365" w:rsidRPr="00595D86" w14:paraId="7086FA0D" w14:textId="77777777" w:rsidTr="00C131A6">
        <w:trPr>
          <w:gridAfter w:val="2"/>
          <w:wAfter w:w="1026" w:type="dxa"/>
        </w:trPr>
        <w:tc>
          <w:tcPr>
            <w:tcW w:w="6048" w:type="dxa"/>
          </w:tcPr>
          <w:p w14:paraId="3BD30AEF" w14:textId="77777777" w:rsidR="00FF0365" w:rsidRPr="00595D86" w:rsidRDefault="00FF0365" w:rsidP="00E66CD3">
            <w:pPr>
              <w:rPr>
                <w:rFonts w:ascii="Times" w:hAnsi="Times" w:cs="Times"/>
                <w:sz w:val="26"/>
                <w:szCs w:val="26"/>
              </w:rPr>
            </w:pPr>
          </w:p>
        </w:tc>
        <w:tc>
          <w:tcPr>
            <w:tcW w:w="3222" w:type="dxa"/>
          </w:tcPr>
          <w:p w14:paraId="2A5741E0" w14:textId="3593F323" w:rsidR="00FF0365" w:rsidRPr="00595D86" w:rsidRDefault="00FA58A4" w:rsidP="00FA58A4">
            <w:pPr>
              <w:overflowPunct/>
              <w:autoSpaceDE/>
              <w:autoSpaceDN/>
              <w:adjustRightInd/>
              <w:spacing w:after="120"/>
              <w:ind w:left="259"/>
              <w:textAlignment w:val="auto"/>
              <w:rPr>
                <w:rFonts w:ascii="Times" w:hAnsi="Times" w:cs="Times"/>
                <w:sz w:val="26"/>
                <w:szCs w:val="26"/>
              </w:rPr>
            </w:pPr>
            <w:r w:rsidRPr="00FA58A4">
              <w:rPr>
                <w:sz w:val="26"/>
                <w:szCs w:val="24"/>
              </w:rPr>
              <w:t>Docket Numbers:</w:t>
            </w:r>
          </w:p>
        </w:tc>
      </w:tr>
      <w:tr w:rsidR="00FF0365" w:rsidRPr="00595D86" w14:paraId="713C0638" w14:textId="77777777" w:rsidTr="00C131A6">
        <w:trPr>
          <w:gridAfter w:val="2"/>
          <w:wAfter w:w="1026" w:type="dxa"/>
        </w:trPr>
        <w:tc>
          <w:tcPr>
            <w:tcW w:w="6048" w:type="dxa"/>
          </w:tcPr>
          <w:p w14:paraId="1A7C2EA6" w14:textId="3357E522" w:rsidR="00FF0365" w:rsidRDefault="00FF0365" w:rsidP="00C131A6">
            <w:pPr>
              <w:rPr>
                <w:rFonts w:ascii="Times" w:hAnsi="Times" w:cs="Times"/>
                <w:sz w:val="26"/>
                <w:szCs w:val="26"/>
              </w:rPr>
            </w:pPr>
            <w:r w:rsidRPr="00595D86">
              <w:rPr>
                <w:rFonts w:ascii="Times" w:hAnsi="Times" w:cs="Times"/>
                <w:sz w:val="26"/>
                <w:szCs w:val="26"/>
              </w:rPr>
              <w:t xml:space="preserve">Petition of </w:t>
            </w:r>
            <w:r w:rsidR="00FD30A2">
              <w:rPr>
                <w:rFonts w:ascii="Times" w:hAnsi="Times" w:cs="Times"/>
                <w:sz w:val="26"/>
                <w:szCs w:val="26"/>
              </w:rPr>
              <w:t>Peoples</w:t>
            </w:r>
            <w:r w:rsidR="00FB59E3">
              <w:rPr>
                <w:rFonts w:ascii="Times" w:hAnsi="Times" w:cs="Times"/>
                <w:sz w:val="26"/>
                <w:szCs w:val="26"/>
              </w:rPr>
              <w:t xml:space="preserve"> Gas</w:t>
            </w:r>
            <w:r w:rsidR="00C22828">
              <w:rPr>
                <w:rFonts w:ascii="Times" w:hAnsi="Times" w:cs="Times"/>
                <w:sz w:val="26"/>
                <w:szCs w:val="26"/>
              </w:rPr>
              <w:t xml:space="preserve"> Company</w:t>
            </w:r>
            <w:r w:rsidR="00FB59E3">
              <w:rPr>
                <w:rFonts w:ascii="Times" w:hAnsi="Times" w:cs="Times"/>
                <w:sz w:val="26"/>
                <w:szCs w:val="26"/>
              </w:rPr>
              <w:t xml:space="preserve"> LLC</w:t>
            </w:r>
            <w:r>
              <w:rPr>
                <w:rFonts w:ascii="Times" w:hAnsi="Times" w:cs="Times"/>
                <w:sz w:val="26"/>
                <w:szCs w:val="26"/>
              </w:rPr>
              <w:t xml:space="preserve"> To Establish a Mechanism to Distribute the Tax Savings Associated with the TCJA for the Period Between </w:t>
            </w:r>
            <w:r w:rsidR="00C22828">
              <w:rPr>
                <w:rFonts w:ascii="Times" w:hAnsi="Times" w:cs="Times"/>
                <w:sz w:val="26"/>
                <w:szCs w:val="26"/>
              </w:rPr>
              <w:t>January 1</w:t>
            </w:r>
            <w:r>
              <w:rPr>
                <w:rFonts w:ascii="Times" w:hAnsi="Times" w:cs="Times"/>
                <w:sz w:val="26"/>
                <w:szCs w:val="26"/>
              </w:rPr>
              <w:t>, 201</w:t>
            </w:r>
            <w:r w:rsidR="00C22828">
              <w:rPr>
                <w:rFonts w:ascii="Times" w:hAnsi="Times" w:cs="Times"/>
                <w:sz w:val="26"/>
                <w:szCs w:val="26"/>
              </w:rPr>
              <w:t>8</w:t>
            </w:r>
            <w:r>
              <w:rPr>
                <w:rFonts w:ascii="Times" w:hAnsi="Times" w:cs="Times"/>
                <w:sz w:val="26"/>
                <w:szCs w:val="26"/>
              </w:rPr>
              <w:t>, and June 30, 2018</w:t>
            </w:r>
          </w:p>
          <w:p w14:paraId="0533B019" w14:textId="77777777" w:rsidR="00FF0365" w:rsidRPr="00595D86" w:rsidRDefault="00FF0365" w:rsidP="00E66CD3">
            <w:pPr>
              <w:rPr>
                <w:rFonts w:ascii="Times" w:hAnsi="Times" w:cs="Times"/>
                <w:sz w:val="26"/>
                <w:szCs w:val="26"/>
              </w:rPr>
            </w:pPr>
          </w:p>
        </w:tc>
        <w:tc>
          <w:tcPr>
            <w:tcW w:w="3222" w:type="dxa"/>
          </w:tcPr>
          <w:p w14:paraId="2AF76DCC" w14:textId="72C48EB9" w:rsidR="00FF0365" w:rsidRPr="00FA58A4" w:rsidRDefault="00FA58A4" w:rsidP="00FA58A4">
            <w:pPr>
              <w:rPr>
                <w:sz w:val="26"/>
                <w:szCs w:val="24"/>
              </w:rPr>
            </w:pPr>
            <w:bookmarkStart w:id="0" w:name="_Hlk522868630"/>
            <w:r>
              <w:rPr>
                <w:sz w:val="26"/>
                <w:szCs w:val="24"/>
              </w:rPr>
              <w:t xml:space="preserve">      </w:t>
            </w:r>
            <w:r w:rsidR="001548FB">
              <w:rPr>
                <w:sz w:val="26"/>
                <w:szCs w:val="24"/>
              </w:rPr>
              <w:t>P</w:t>
            </w:r>
            <w:r w:rsidRPr="00FA58A4">
              <w:rPr>
                <w:sz w:val="26"/>
                <w:szCs w:val="24"/>
              </w:rPr>
              <w:t>-2021-302</w:t>
            </w:r>
            <w:bookmarkEnd w:id="0"/>
            <w:r w:rsidR="00FD30A2">
              <w:rPr>
                <w:sz w:val="26"/>
                <w:szCs w:val="24"/>
              </w:rPr>
              <w:t>5898</w:t>
            </w:r>
          </w:p>
        </w:tc>
      </w:tr>
      <w:tr w:rsidR="00FF0365" w:rsidRPr="00595D86" w14:paraId="37C5DE2B" w14:textId="77777777" w:rsidTr="00C131A6">
        <w:trPr>
          <w:gridAfter w:val="2"/>
          <w:wAfter w:w="1026" w:type="dxa"/>
        </w:trPr>
        <w:tc>
          <w:tcPr>
            <w:tcW w:w="6048" w:type="dxa"/>
          </w:tcPr>
          <w:p w14:paraId="7C584F31" w14:textId="77777777" w:rsidR="00FF0365" w:rsidRPr="00595D86" w:rsidRDefault="00FF0365" w:rsidP="00C131A6">
            <w:pPr>
              <w:rPr>
                <w:rFonts w:ascii="Times" w:hAnsi="Times" w:cs="Times"/>
                <w:sz w:val="26"/>
                <w:szCs w:val="26"/>
              </w:rPr>
            </w:pPr>
          </w:p>
        </w:tc>
        <w:tc>
          <w:tcPr>
            <w:tcW w:w="3222" w:type="dxa"/>
          </w:tcPr>
          <w:p w14:paraId="62E2F45F" w14:textId="77777777" w:rsidR="00FF0365" w:rsidRPr="00595D86" w:rsidRDefault="00FF0365" w:rsidP="00E66CD3">
            <w:pPr>
              <w:rPr>
                <w:rFonts w:ascii="Times" w:hAnsi="Times" w:cs="Times"/>
                <w:sz w:val="26"/>
                <w:szCs w:val="26"/>
              </w:rPr>
            </w:pPr>
          </w:p>
        </w:tc>
      </w:tr>
    </w:tbl>
    <w:p w14:paraId="525450F0" w14:textId="77777777" w:rsidR="00EE1DCC" w:rsidRPr="00595D86" w:rsidRDefault="00EE1DCC" w:rsidP="00EE1DCC">
      <w:pPr>
        <w:spacing w:line="360" w:lineRule="auto"/>
        <w:rPr>
          <w:rFonts w:ascii="Times" w:hAnsi="Times" w:cs="Times"/>
          <w:sz w:val="26"/>
          <w:szCs w:val="26"/>
        </w:rPr>
      </w:pPr>
    </w:p>
    <w:p w14:paraId="07B1EBF8" w14:textId="77777777" w:rsidR="00EE1DCC" w:rsidRPr="00595D86" w:rsidRDefault="00EE1DCC" w:rsidP="00EE1DCC">
      <w:pPr>
        <w:spacing w:line="360" w:lineRule="auto"/>
        <w:jc w:val="center"/>
        <w:rPr>
          <w:rFonts w:ascii="Times" w:hAnsi="Times" w:cs="Times"/>
          <w:b/>
          <w:sz w:val="26"/>
          <w:szCs w:val="26"/>
        </w:rPr>
      </w:pPr>
      <w:r w:rsidRPr="00595D86">
        <w:rPr>
          <w:rFonts w:ascii="Times" w:hAnsi="Times" w:cs="Times"/>
          <w:b/>
          <w:sz w:val="26"/>
          <w:szCs w:val="26"/>
        </w:rPr>
        <w:t>OPINION AND ORDER</w:t>
      </w:r>
    </w:p>
    <w:p w14:paraId="4FB64855" w14:textId="77777777" w:rsidR="00EE1DCC" w:rsidRPr="00595D86" w:rsidRDefault="00EE1DCC" w:rsidP="00EE1DCC">
      <w:pPr>
        <w:spacing w:line="360" w:lineRule="auto"/>
        <w:jc w:val="center"/>
        <w:rPr>
          <w:rFonts w:ascii="Times" w:hAnsi="Times" w:cs="Times"/>
          <w:b/>
          <w:sz w:val="26"/>
          <w:szCs w:val="26"/>
        </w:rPr>
      </w:pPr>
    </w:p>
    <w:p w14:paraId="1F01CA69" w14:textId="77777777" w:rsidR="00EE1DCC" w:rsidRPr="00595D86" w:rsidRDefault="00EE1DCC" w:rsidP="00595D86">
      <w:pPr>
        <w:pStyle w:val="p3"/>
        <w:spacing w:line="480" w:lineRule="auto"/>
        <w:rPr>
          <w:rFonts w:ascii="Times" w:hAnsi="Times" w:cs="Times"/>
          <w:b/>
          <w:sz w:val="26"/>
          <w:szCs w:val="26"/>
        </w:rPr>
      </w:pPr>
      <w:r w:rsidRPr="00595D86">
        <w:rPr>
          <w:rFonts w:ascii="Times" w:hAnsi="Times" w:cs="Times"/>
          <w:b/>
          <w:sz w:val="26"/>
          <w:szCs w:val="26"/>
        </w:rPr>
        <w:t>BY THE COMMISSION:</w:t>
      </w:r>
    </w:p>
    <w:p w14:paraId="22BED658" w14:textId="1443DBDE" w:rsidR="00EE1DCC" w:rsidRPr="00595D86" w:rsidRDefault="00EE1DCC" w:rsidP="00127B38">
      <w:pPr>
        <w:pStyle w:val="p3"/>
        <w:tabs>
          <w:tab w:val="clear" w:pos="204"/>
        </w:tabs>
        <w:spacing w:line="360" w:lineRule="auto"/>
        <w:ind w:firstLine="720"/>
        <w:rPr>
          <w:rFonts w:ascii="Times" w:hAnsi="Times" w:cs="Times"/>
          <w:sz w:val="26"/>
          <w:szCs w:val="26"/>
        </w:rPr>
      </w:pPr>
      <w:r w:rsidRPr="00595D86">
        <w:rPr>
          <w:rFonts w:ascii="Times" w:hAnsi="Times" w:cs="Times"/>
          <w:sz w:val="26"/>
          <w:szCs w:val="26"/>
        </w:rPr>
        <w:t xml:space="preserve">On </w:t>
      </w:r>
      <w:r w:rsidR="00FF7E1B">
        <w:rPr>
          <w:rFonts w:ascii="Times" w:hAnsi="Times" w:cs="Times"/>
          <w:sz w:val="26"/>
          <w:szCs w:val="26"/>
        </w:rPr>
        <w:t>May 17</w:t>
      </w:r>
      <w:r w:rsidR="007C2CEC">
        <w:rPr>
          <w:rFonts w:ascii="Times" w:hAnsi="Times" w:cs="Times"/>
          <w:sz w:val="26"/>
          <w:szCs w:val="26"/>
        </w:rPr>
        <w:t>, 20</w:t>
      </w:r>
      <w:r w:rsidR="00FF7E1B">
        <w:rPr>
          <w:rFonts w:ascii="Times" w:hAnsi="Times" w:cs="Times"/>
          <w:sz w:val="26"/>
          <w:szCs w:val="26"/>
        </w:rPr>
        <w:t>21</w:t>
      </w:r>
      <w:r w:rsidRPr="00595D86">
        <w:rPr>
          <w:rFonts w:ascii="Times" w:hAnsi="Times" w:cs="Times"/>
          <w:sz w:val="26"/>
          <w:szCs w:val="26"/>
        </w:rPr>
        <w:t xml:space="preserve">, </w:t>
      </w:r>
      <w:r w:rsidR="00FB59E3">
        <w:rPr>
          <w:rFonts w:ascii="Times" w:hAnsi="Times" w:cs="Times"/>
          <w:sz w:val="26"/>
          <w:szCs w:val="26"/>
        </w:rPr>
        <w:t>People</w:t>
      </w:r>
      <w:r w:rsidR="00957C95">
        <w:rPr>
          <w:rFonts w:ascii="Times" w:hAnsi="Times" w:cs="Times"/>
          <w:sz w:val="26"/>
          <w:szCs w:val="26"/>
        </w:rPr>
        <w:t>s Gas</w:t>
      </w:r>
      <w:r w:rsidR="00C22828">
        <w:rPr>
          <w:rFonts w:ascii="Times" w:hAnsi="Times" w:cs="Times"/>
          <w:sz w:val="26"/>
          <w:szCs w:val="26"/>
        </w:rPr>
        <w:t xml:space="preserve"> Company</w:t>
      </w:r>
      <w:r w:rsidR="00957C95">
        <w:rPr>
          <w:rFonts w:ascii="Times" w:hAnsi="Times" w:cs="Times"/>
          <w:sz w:val="26"/>
          <w:szCs w:val="26"/>
        </w:rPr>
        <w:t xml:space="preserve"> LLC</w:t>
      </w:r>
      <w:r w:rsidRPr="00595D86">
        <w:rPr>
          <w:rFonts w:ascii="Times" w:hAnsi="Times" w:cs="Times"/>
          <w:sz w:val="26"/>
          <w:szCs w:val="26"/>
        </w:rPr>
        <w:t xml:space="preserve"> (</w:t>
      </w:r>
      <w:r w:rsidR="009D1C35">
        <w:rPr>
          <w:rFonts w:ascii="Times" w:hAnsi="Times" w:cs="Times"/>
          <w:sz w:val="26"/>
          <w:szCs w:val="26"/>
        </w:rPr>
        <w:t>“</w:t>
      </w:r>
      <w:r w:rsidR="000B58DD">
        <w:rPr>
          <w:rFonts w:ascii="Times" w:hAnsi="Times" w:cs="Times"/>
          <w:sz w:val="26"/>
          <w:szCs w:val="26"/>
        </w:rPr>
        <w:t>Peoples Gas</w:t>
      </w:r>
      <w:r w:rsidR="009D1C35">
        <w:rPr>
          <w:rFonts w:ascii="Times" w:hAnsi="Times" w:cs="Times"/>
          <w:sz w:val="26"/>
          <w:szCs w:val="26"/>
        </w:rPr>
        <w:t>”</w:t>
      </w:r>
      <w:r w:rsidR="00AD3A57" w:rsidRPr="00595D86">
        <w:rPr>
          <w:rFonts w:ascii="Times" w:hAnsi="Times" w:cs="Times"/>
          <w:sz w:val="26"/>
          <w:szCs w:val="26"/>
        </w:rPr>
        <w:t xml:space="preserve"> </w:t>
      </w:r>
      <w:r w:rsidR="00880544" w:rsidRPr="00595D86">
        <w:rPr>
          <w:rFonts w:ascii="Times" w:hAnsi="Times" w:cs="Times"/>
          <w:sz w:val="26"/>
          <w:szCs w:val="26"/>
        </w:rPr>
        <w:t xml:space="preserve">or </w:t>
      </w:r>
      <w:r w:rsidR="009D1C35">
        <w:rPr>
          <w:rFonts w:ascii="Times" w:hAnsi="Times" w:cs="Times"/>
          <w:sz w:val="26"/>
          <w:szCs w:val="26"/>
        </w:rPr>
        <w:t>“</w:t>
      </w:r>
      <w:r w:rsidR="00880544" w:rsidRPr="00595D86">
        <w:rPr>
          <w:rFonts w:ascii="Times" w:hAnsi="Times" w:cs="Times"/>
          <w:sz w:val="26"/>
          <w:szCs w:val="26"/>
        </w:rPr>
        <w:t>Company</w:t>
      </w:r>
      <w:r w:rsidR="009D1C35">
        <w:rPr>
          <w:rFonts w:ascii="Times" w:hAnsi="Times" w:cs="Times"/>
          <w:sz w:val="26"/>
          <w:szCs w:val="26"/>
        </w:rPr>
        <w:t>”</w:t>
      </w:r>
      <w:r w:rsidRPr="00595D86">
        <w:rPr>
          <w:rFonts w:ascii="Times" w:hAnsi="Times" w:cs="Times"/>
          <w:sz w:val="26"/>
          <w:szCs w:val="26"/>
        </w:rPr>
        <w:t xml:space="preserve">) filed a </w:t>
      </w:r>
      <w:r w:rsidR="004966B7">
        <w:rPr>
          <w:rFonts w:ascii="Times" w:hAnsi="Times" w:cs="Times"/>
          <w:sz w:val="26"/>
          <w:szCs w:val="26"/>
        </w:rPr>
        <w:t>p</w:t>
      </w:r>
      <w:r w:rsidRPr="00595D86">
        <w:rPr>
          <w:rFonts w:ascii="Times" w:hAnsi="Times" w:cs="Times"/>
          <w:sz w:val="26"/>
          <w:szCs w:val="26"/>
        </w:rPr>
        <w:t>etition</w:t>
      </w:r>
      <w:r w:rsidR="00306E8D">
        <w:rPr>
          <w:rFonts w:ascii="Times" w:hAnsi="Times" w:cs="Times"/>
          <w:sz w:val="26"/>
          <w:szCs w:val="26"/>
        </w:rPr>
        <w:t xml:space="preserve"> pursuant to 52 Pa. Code §5.41, and the Commission’s directive in the Order entered on May 17, 2018 at Docket No. R-2018-3000</w:t>
      </w:r>
      <w:r w:rsidR="00027BBA">
        <w:rPr>
          <w:rFonts w:ascii="Times" w:hAnsi="Times" w:cs="Times"/>
          <w:sz w:val="26"/>
          <w:szCs w:val="26"/>
        </w:rPr>
        <w:t>502</w:t>
      </w:r>
      <w:r w:rsidR="00097FF9">
        <w:rPr>
          <w:rFonts w:ascii="Times" w:hAnsi="Times" w:cs="Times"/>
          <w:sz w:val="26"/>
          <w:szCs w:val="26"/>
        </w:rPr>
        <w:t xml:space="preserve"> (</w:t>
      </w:r>
      <w:r w:rsidR="000B58DD">
        <w:rPr>
          <w:rFonts w:ascii="Times" w:hAnsi="Times" w:cs="Times"/>
          <w:sz w:val="26"/>
          <w:szCs w:val="26"/>
        </w:rPr>
        <w:t>Peoples Gas</w:t>
      </w:r>
      <w:r w:rsidR="003A3D73">
        <w:rPr>
          <w:rFonts w:ascii="Times" w:hAnsi="Times" w:cs="Times"/>
          <w:sz w:val="26"/>
          <w:szCs w:val="26"/>
        </w:rPr>
        <w:t xml:space="preserve"> Compliance</w:t>
      </w:r>
      <w:r w:rsidR="00097FF9">
        <w:rPr>
          <w:rFonts w:ascii="Times" w:hAnsi="Times" w:cs="Times"/>
          <w:sz w:val="26"/>
          <w:szCs w:val="26"/>
        </w:rPr>
        <w:t xml:space="preserve"> Order)</w:t>
      </w:r>
      <w:bookmarkStart w:id="1" w:name="_Hlk23151221"/>
      <w:r w:rsidR="00E8676D">
        <w:rPr>
          <w:rFonts w:ascii="Times" w:hAnsi="Times" w:cs="Times"/>
          <w:sz w:val="26"/>
          <w:szCs w:val="26"/>
        </w:rPr>
        <w:t xml:space="preserve"> </w:t>
      </w:r>
      <w:r w:rsidRPr="00595D86">
        <w:rPr>
          <w:rFonts w:ascii="Times" w:hAnsi="Times" w:cs="Times"/>
          <w:sz w:val="26"/>
          <w:szCs w:val="26"/>
        </w:rPr>
        <w:t xml:space="preserve">for </w:t>
      </w:r>
      <w:r w:rsidR="004966B7">
        <w:rPr>
          <w:rFonts w:ascii="Times" w:hAnsi="Times" w:cs="Times"/>
          <w:sz w:val="26"/>
          <w:szCs w:val="26"/>
        </w:rPr>
        <w:t xml:space="preserve">authority to </w:t>
      </w:r>
      <w:r w:rsidR="0055133F">
        <w:rPr>
          <w:rFonts w:ascii="Times" w:hAnsi="Times" w:cs="Times"/>
          <w:sz w:val="26"/>
          <w:szCs w:val="26"/>
        </w:rPr>
        <w:t>distribute the tax savings associated with the Ta</w:t>
      </w:r>
      <w:r w:rsidR="00306E8D">
        <w:rPr>
          <w:rFonts w:ascii="Times" w:hAnsi="Times" w:cs="Times"/>
          <w:sz w:val="26"/>
          <w:szCs w:val="26"/>
        </w:rPr>
        <w:t>x</w:t>
      </w:r>
      <w:r w:rsidR="0055133F">
        <w:rPr>
          <w:rFonts w:ascii="Times" w:hAnsi="Times" w:cs="Times"/>
          <w:sz w:val="26"/>
          <w:szCs w:val="26"/>
        </w:rPr>
        <w:t xml:space="preserve"> Cuts and Jobs Act of 2017 (TCJA) for the period of </w:t>
      </w:r>
      <w:r w:rsidR="0061390A">
        <w:rPr>
          <w:rFonts w:ascii="Times" w:hAnsi="Times" w:cs="Times"/>
          <w:sz w:val="26"/>
          <w:szCs w:val="26"/>
        </w:rPr>
        <w:t>January</w:t>
      </w:r>
      <w:r w:rsidR="001A51CD">
        <w:rPr>
          <w:rFonts w:ascii="Times" w:hAnsi="Times" w:cs="Times"/>
          <w:sz w:val="26"/>
          <w:szCs w:val="26"/>
        </w:rPr>
        <w:t xml:space="preserve"> 1</w:t>
      </w:r>
      <w:r w:rsidR="0055133F">
        <w:rPr>
          <w:rFonts w:ascii="Times" w:hAnsi="Times" w:cs="Times"/>
          <w:sz w:val="26"/>
          <w:szCs w:val="26"/>
        </w:rPr>
        <w:t>, 201</w:t>
      </w:r>
      <w:r w:rsidR="0061390A">
        <w:rPr>
          <w:rFonts w:ascii="Times" w:hAnsi="Times" w:cs="Times"/>
          <w:sz w:val="26"/>
          <w:szCs w:val="26"/>
        </w:rPr>
        <w:t>8</w:t>
      </w:r>
      <w:r w:rsidR="0055133F">
        <w:rPr>
          <w:rFonts w:ascii="Times" w:hAnsi="Times" w:cs="Times"/>
          <w:sz w:val="26"/>
          <w:szCs w:val="26"/>
        </w:rPr>
        <w:t xml:space="preserve"> through June 30, 201</w:t>
      </w:r>
      <w:r w:rsidR="00604407">
        <w:rPr>
          <w:rFonts w:ascii="Times" w:hAnsi="Times" w:cs="Times"/>
          <w:sz w:val="26"/>
          <w:szCs w:val="26"/>
        </w:rPr>
        <w:t>8 (Stub Period)</w:t>
      </w:r>
      <w:bookmarkEnd w:id="1"/>
      <w:r w:rsidR="004966B7">
        <w:rPr>
          <w:rFonts w:ascii="Times" w:hAnsi="Times" w:cs="Times"/>
          <w:sz w:val="26"/>
          <w:szCs w:val="26"/>
        </w:rPr>
        <w:t>.</w:t>
      </w:r>
      <w:r w:rsidRPr="00595D86">
        <w:rPr>
          <w:rFonts w:ascii="Times" w:hAnsi="Times" w:cs="Times"/>
          <w:sz w:val="26"/>
          <w:szCs w:val="26"/>
        </w:rPr>
        <w:t xml:space="preserve"> </w:t>
      </w:r>
      <w:r w:rsidR="00A900F3">
        <w:rPr>
          <w:rFonts w:ascii="Times" w:hAnsi="Times" w:cs="Times"/>
          <w:sz w:val="26"/>
          <w:szCs w:val="26"/>
        </w:rPr>
        <w:t xml:space="preserve"> No party has filed an Answer or Protest to this Petition.</w:t>
      </w:r>
      <w:r w:rsidRPr="00595D86">
        <w:rPr>
          <w:rFonts w:ascii="Times" w:hAnsi="Times" w:cs="Times"/>
          <w:sz w:val="26"/>
          <w:szCs w:val="26"/>
        </w:rPr>
        <w:t xml:space="preserve"> </w:t>
      </w:r>
    </w:p>
    <w:p w14:paraId="2180487B" w14:textId="4BD3CCF3" w:rsidR="005A1BE5" w:rsidRDefault="005A1BE5" w:rsidP="00127B38">
      <w:pPr>
        <w:pStyle w:val="p3"/>
        <w:tabs>
          <w:tab w:val="clear" w:pos="204"/>
        </w:tabs>
        <w:spacing w:line="360" w:lineRule="auto"/>
        <w:ind w:firstLine="720"/>
        <w:rPr>
          <w:rFonts w:ascii="Times" w:hAnsi="Times" w:cs="Times"/>
          <w:sz w:val="26"/>
          <w:szCs w:val="26"/>
        </w:rPr>
      </w:pPr>
    </w:p>
    <w:p w14:paraId="6816CA93" w14:textId="647C4139" w:rsidR="00702DC6" w:rsidRDefault="00702DC6" w:rsidP="00127B38">
      <w:pPr>
        <w:pStyle w:val="p3"/>
        <w:spacing w:line="360" w:lineRule="auto"/>
        <w:ind w:firstLine="720"/>
        <w:rPr>
          <w:rFonts w:ascii="Times" w:hAnsi="Times" w:cs="Times"/>
          <w:sz w:val="26"/>
          <w:szCs w:val="26"/>
        </w:rPr>
      </w:pPr>
      <w:r w:rsidRPr="00702DC6">
        <w:rPr>
          <w:rFonts w:ascii="Times" w:hAnsi="Times" w:cs="Times"/>
          <w:sz w:val="26"/>
          <w:szCs w:val="26"/>
        </w:rPr>
        <w:t xml:space="preserve">Consistent with the Commission’s prior order, </w:t>
      </w:r>
      <w:r w:rsidR="000B58DD">
        <w:rPr>
          <w:rFonts w:ascii="Times" w:hAnsi="Times" w:cs="Times"/>
          <w:sz w:val="26"/>
          <w:szCs w:val="26"/>
        </w:rPr>
        <w:t>Peoples Gas</w:t>
      </w:r>
      <w:r w:rsidRPr="00702DC6">
        <w:rPr>
          <w:rFonts w:ascii="Times" w:hAnsi="Times" w:cs="Times"/>
          <w:sz w:val="26"/>
          <w:szCs w:val="26"/>
        </w:rPr>
        <w:t xml:space="preserve"> is required to file a petition</w:t>
      </w:r>
      <w:r>
        <w:rPr>
          <w:rFonts w:ascii="Times" w:hAnsi="Times" w:cs="Times"/>
          <w:sz w:val="26"/>
          <w:szCs w:val="26"/>
        </w:rPr>
        <w:t xml:space="preserve"> </w:t>
      </w:r>
      <w:r w:rsidRPr="00702DC6">
        <w:rPr>
          <w:rFonts w:ascii="Times" w:hAnsi="Times" w:cs="Times"/>
          <w:sz w:val="26"/>
          <w:szCs w:val="26"/>
        </w:rPr>
        <w:t xml:space="preserve">to refund to customers the tax savings associated with the TCJA for the </w:t>
      </w:r>
      <w:r w:rsidR="00932041">
        <w:rPr>
          <w:rFonts w:ascii="Times" w:hAnsi="Times" w:cs="Times"/>
          <w:sz w:val="26"/>
          <w:szCs w:val="26"/>
        </w:rPr>
        <w:t>Stub Period</w:t>
      </w:r>
      <w:r w:rsidRPr="00702DC6">
        <w:rPr>
          <w:rFonts w:ascii="Times" w:hAnsi="Times" w:cs="Times"/>
          <w:sz w:val="26"/>
          <w:szCs w:val="26"/>
        </w:rPr>
        <w:t xml:space="preserve"> on or before May 1</w:t>
      </w:r>
      <w:r w:rsidR="000753D5">
        <w:rPr>
          <w:rFonts w:ascii="Times" w:hAnsi="Times" w:cs="Times"/>
          <w:sz w:val="26"/>
          <w:szCs w:val="26"/>
        </w:rPr>
        <w:t>7</w:t>
      </w:r>
      <w:r w:rsidRPr="00702DC6">
        <w:rPr>
          <w:rFonts w:ascii="Times" w:hAnsi="Times" w:cs="Times"/>
          <w:sz w:val="26"/>
          <w:szCs w:val="26"/>
        </w:rPr>
        <w:t>, 2021.</w:t>
      </w:r>
      <w:r w:rsidR="006B7B75">
        <w:rPr>
          <w:rFonts w:ascii="Times" w:hAnsi="Times" w:cs="Times"/>
          <w:sz w:val="26"/>
          <w:szCs w:val="26"/>
        </w:rPr>
        <w:t xml:space="preserve"> </w:t>
      </w:r>
      <w:r w:rsidR="0095076F">
        <w:rPr>
          <w:rFonts w:ascii="Times" w:hAnsi="Times" w:cs="Times"/>
          <w:sz w:val="26"/>
          <w:szCs w:val="26"/>
        </w:rPr>
        <w:t xml:space="preserve"> </w:t>
      </w:r>
      <w:r w:rsidR="000B58DD">
        <w:rPr>
          <w:rFonts w:ascii="Times" w:hAnsi="Times" w:cs="Times"/>
          <w:sz w:val="26"/>
          <w:szCs w:val="26"/>
        </w:rPr>
        <w:t>Peoples Gas</w:t>
      </w:r>
      <w:r w:rsidRPr="00702DC6">
        <w:rPr>
          <w:rFonts w:ascii="Times" w:hAnsi="Times" w:cs="Times"/>
          <w:sz w:val="26"/>
          <w:szCs w:val="26"/>
        </w:rPr>
        <w:t xml:space="preserve"> proposes to begin to distribute the savings </w:t>
      </w:r>
      <w:r w:rsidR="00ED7373">
        <w:rPr>
          <w:rFonts w:ascii="Times" w:hAnsi="Times" w:cs="Times"/>
          <w:sz w:val="26"/>
          <w:szCs w:val="26"/>
        </w:rPr>
        <w:t>by</w:t>
      </w:r>
      <w:r w:rsidRPr="00702DC6">
        <w:rPr>
          <w:rFonts w:ascii="Times" w:hAnsi="Times" w:cs="Times"/>
          <w:sz w:val="26"/>
          <w:szCs w:val="26"/>
        </w:rPr>
        <w:t xml:space="preserve"> revis</w:t>
      </w:r>
      <w:r w:rsidR="00ED7373">
        <w:rPr>
          <w:rFonts w:ascii="Times" w:hAnsi="Times" w:cs="Times"/>
          <w:sz w:val="26"/>
          <w:szCs w:val="26"/>
        </w:rPr>
        <w:t>ing</w:t>
      </w:r>
      <w:r w:rsidRPr="00702DC6">
        <w:rPr>
          <w:rFonts w:ascii="Times" w:hAnsi="Times" w:cs="Times"/>
          <w:sz w:val="26"/>
          <w:szCs w:val="26"/>
        </w:rPr>
        <w:t xml:space="preserve"> the existing TCJA </w:t>
      </w:r>
      <w:r w:rsidR="008F33FE">
        <w:rPr>
          <w:rFonts w:ascii="Times" w:hAnsi="Times" w:cs="Times"/>
          <w:sz w:val="26"/>
          <w:szCs w:val="26"/>
        </w:rPr>
        <w:t>Temporary</w:t>
      </w:r>
      <w:r w:rsidR="00266ED1">
        <w:rPr>
          <w:rFonts w:ascii="Times" w:hAnsi="Times" w:cs="Times"/>
          <w:sz w:val="26"/>
          <w:szCs w:val="26"/>
        </w:rPr>
        <w:t xml:space="preserve"> S</w:t>
      </w:r>
      <w:r w:rsidRPr="00702DC6">
        <w:rPr>
          <w:rFonts w:ascii="Times" w:hAnsi="Times" w:cs="Times"/>
          <w:sz w:val="26"/>
          <w:szCs w:val="26"/>
        </w:rPr>
        <w:t>urcharge mechanism to provide for the distribution of these savings</w:t>
      </w:r>
      <w:r>
        <w:rPr>
          <w:rFonts w:ascii="Times" w:hAnsi="Times" w:cs="Times"/>
          <w:sz w:val="26"/>
          <w:szCs w:val="26"/>
        </w:rPr>
        <w:t xml:space="preserve"> </w:t>
      </w:r>
      <w:r w:rsidRPr="00702DC6">
        <w:rPr>
          <w:rFonts w:ascii="Times" w:hAnsi="Times" w:cs="Times"/>
          <w:sz w:val="26"/>
          <w:szCs w:val="26"/>
        </w:rPr>
        <w:t xml:space="preserve">from </w:t>
      </w:r>
      <w:r w:rsidR="00ED7373">
        <w:rPr>
          <w:rFonts w:ascii="Times" w:hAnsi="Times" w:cs="Times"/>
          <w:sz w:val="26"/>
          <w:szCs w:val="26"/>
        </w:rPr>
        <w:t>January</w:t>
      </w:r>
      <w:r w:rsidR="00572CB1">
        <w:rPr>
          <w:rFonts w:ascii="Times" w:hAnsi="Times" w:cs="Times"/>
          <w:sz w:val="26"/>
          <w:szCs w:val="26"/>
        </w:rPr>
        <w:t xml:space="preserve"> </w:t>
      </w:r>
      <w:r w:rsidRPr="00702DC6">
        <w:rPr>
          <w:rFonts w:ascii="Times" w:hAnsi="Times" w:cs="Times"/>
          <w:sz w:val="26"/>
          <w:szCs w:val="26"/>
        </w:rPr>
        <w:t>1, 202</w:t>
      </w:r>
      <w:r w:rsidR="00ED7373">
        <w:rPr>
          <w:rFonts w:ascii="Times" w:hAnsi="Times" w:cs="Times"/>
          <w:sz w:val="26"/>
          <w:szCs w:val="26"/>
        </w:rPr>
        <w:t>2</w:t>
      </w:r>
      <w:r w:rsidRPr="00702DC6">
        <w:rPr>
          <w:rFonts w:ascii="Times" w:hAnsi="Times" w:cs="Times"/>
          <w:sz w:val="26"/>
          <w:szCs w:val="26"/>
        </w:rPr>
        <w:t xml:space="preserve">, through </w:t>
      </w:r>
      <w:r w:rsidR="00ED7373">
        <w:rPr>
          <w:rFonts w:ascii="Times" w:hAnsi="Times" w:cs="Times"/>
          <w:sz w:val="26"/>
          <w:szCs w:val="26"/>
        </w:rPr>
        <w:t>December 31</w:t>
      </w:r>
      <w:r w:rsidRPr="00702DC6">
        <w:rPr>
          <w:rFonts w:ascii="Times" w:hAnsi="Times" w:cs="Times"/>
          <w:sz w:val="26"/>
          <w:szCs w:val="26"/>
        </w:rPr>
        <w:t>, 202</w:t>
      </w:r>
      <w:r w:rsidR="00572CB1">
        <w:rPr>
          <w:rFonts w:ascii="Times" w:hAnsi="Times" w:cs="Times"/>
          <w:sz w:val="26"/>
          <w:szCs w:val="26"/>
        </w:rPr>
        <w:t>2</w:t>
      </w:r>
      <w:r w:rsidRPr="00702DC6">
        <w:rPr>
          <w:rFonts w:ascii="Times" w:hAnsi="Times" w:cs="Times"/>
          <w:sz w:val="26"/>
          <w:szCs w:val="26"/>
        </w:rPr>
        <w:t>.</w:t>
      </w:r>
      <w:r w:rsidR="00DA1817">
        <w:rPr>
          <w:rFonts w:ascii="Times" w:hAnsi="Times" w:cs="Times"/>
          <w:sz w:val="26"/>
          <w:szCs w:val="26"/>
        </w:rPr>
        <w:tab/>
      </w:r>
    </w:p>
    <w:p w14:paraId="024CFD10" w14:textId="7D219FF9" w:rsidR="00A900F3" w:rsidRDefault="00A900F3" w:rsidP="00702DC6">
      <w:pPr>
        <w:pStyle w:val="p3"/>
        <w:spacing w:line="360" w:lineRule="auto"/>
        <w:rPr>
          <w:rFonts w:ascii="Times" w:hAnsi="Times" w:cs="Times"/>
          <w:sz w:val="26"/>
          <w:szCs w:val="26"/>
        </w:rPr>
      </w:pPr>
    </w:p>
    <w:p w14:paraId="17CD11CB" w14:textId="2A93A1FE" w:rsidR="00877116" w:rsidRPr="005E23EB" w:rsidRDefault="007579C8" w:rsidP="005E23EB">
      <w:pPr>
        <w:pStyle w:val="p3"/>
        <w:spacing w:line="360" w:lineRule="auto"/>
        <w:rPr>
          <w:rFonts w:ascii="Times" w:hAnsi="Times" w:cs="Times"/>
          <w:b/>
          <w:bCs/>
          <w:sz w:val="26"/>
          <w:szCs w:val="26"/>
        </w:rPr>
      </w:pPr>
      <w:r w:rsidRPr="007579C8">
        <w:rPr>
          <w:rFonts w:ascii="Times" w:hAnsi="Times" w:cs="Times"/>
          <w:b/>
          <w:bCs/>
          <w:sz w:val="26"/>
          <w:szCs w:val="26"/>
        </w:rPr>
        <w:t>Background</w:t>
      </w:r>
    </w:p>
    <w:p w14:paraId="748CAD42" w14:textId="194746F9" w:rsidR="00637A5B" w:rsidRDefault="00637A5B" w:rsidP="007579C8">
      <w:pPr>
        <w:pStyle w:val="p3"/>
        <w:tabs>
          <w:tab w:val="left" w:pos="720"/>
        </w:tabs>
        <w:spacing w:line="360" w:lineRule="auto"/>
        <w:rPr>
          <w:rFonts w:ascii="Times" w:hAnsi="Times" w:cs="Times"/>
          <w:sz w:val="26"/>
          <w:szCs w:val="26"/>
        </w:rPr>
      </w:pPr>
    </w:p>
    <w:p w14:paraId="5E7A6B56" w14:textId="508094D6" w:rsidR="00453D91" w:rsidRDefault="00453D91" w:rsidP="007579C8">
      <w:pPr>
        <w:pStyle w:val="p3"/>
        <w:tabs>
          <w:tab w:val="left" w:pos="720"/>
        </w:tabs>
        <w:spacing w:line="360" w:lineRule="auto"/>
        <w:rPr>
          <w:rFonts w:ascii="Times" w:hAnsi="Times" w:cs="Times"/>
          <w:sz w:val="26"/>
          <w:szCs w:val="26"/>
        </w:rPr>
      </w:pPr>
      <w:r>
        <w:rPr>
          <w:rFonts w:ascii="Times" w:hAnsi="Times" w:cs="Times"/>
          <w:sz w:val="26"/>
          <w:szCs w:val="26"/>
        </w:rPr>
        <w:tab/>
      </w:r>
      <w:r>
        <w:rPr>
          <w:rFonts w:ascii="Times" w:hAnsi="Times" w:cs="Times"/>
          <w:sz w:val="26"/>
          <w:szCs w:val="26"/>
        </w:rPr>
        <w:tab/>
      </w:r>
      <w:r w:rsidRPr="00453D91">
        <w:rPr>
          <w:rFonts w:ascii="Times" w:hAnsi="Times" w:cs="Times"/>
          <w:sz w:val="26"/>
          <w:szCs w:val="26"/>
        </w:rPr>
        <w:t xml:space="preserve">The </w:t>
      </w:r>
      <w:r w:rsidR="00033D41">
        <w:rPr>
          <w:rFonts w:ascii="Times" w:hAnsi="Times" w:cs="Times"/>
          <w:sz w:val="26"/>
          <w:szCs w:val="26"/>
        </w:rPr>
        <w:t>Peoples Gas</w:t>
      </w:r>
      <w:r w:rsidR="004C5287">
        <w:rPr>
          <w:rFonts w:ascii="Times" w:hAnsi="Times" w:cs="Times"/>
          <w:sz w:val="26"/>
          <w:szCs w:val="26"/>
        </w:rPr>
        <w:t xml:space="preserve"> Compliance</w:t>
      </w:r>
      <w:r w:rsidRPr="00453D91">
        <w:rPr>
          <w:rFonts w:ascii="Times" w:hAnsi="Times" w:cs="Times"/>
          <w:sz w:val="26"/>
          <w:szCs w:val="26"/>
        </w:rPr>
        <w:t xml:space="preserve"> Order provided that the TCJA temporary </w:t>
      </w:r>
      <w:r w:rsidR="00694B04">
        <w:rPr>
          <w:rFonts w:ascii="Times" w:hAnsi="Times" w:cs="Times"/>
          <w:sz w:val="26"/>
          <w:szCs w:val="26"/>
        </w:rPr>
        <w:t xml:space="preserve">negative </w:t>
      </w:r>
      <w:r w:rsidRPr="00453D91">
        <w:rPr>
          <w:rFonts w:ascii="Times" w:hAnsi="Times" w:cs="Times"/>
          <w:sz w:val="26"/>
          <w:szCs w:val="26"/>
        </w:rPr>
        <w:t xml:space="preserve">surcharge </w:t>
      </w:r>
      <w:r w:rsidR="005E23EB">
        <w:rPr>
          <w:rFonts w:ascii="Times" w:hAnsi="Times" w:cs="Times"/>
          <w:sz w:val="26"/>
          <w:szCs w:val="26"/>
        </w:rPr>
        <w:t>of 2.6676%</w:t>
      </w:r>
      <w:r w:rsidR="007F356B">
        <w:rPr>
          <w:rFonts w:ascii="Times" w:hAnsi="Times" w:cs="Times"/>
          <w:sz w:val="26"/>
          <w:szCs w:val="26"/>
        </w:rPr>
        <w:t xml:space="preserve"> </w:t>
      </w:r>
      <w:r w:rsidRPr="00453D91">
        <w:rPr>
          <w:rFonts w:ascii="Times" w:hAnsi="Times" w:cs="Times"/>
          <w:sz w:val="26"/>
          <w:szCs w:val="26"/>
        </w:rPr>
        <w:t xml:space="preserve">will be effective July 1, </w:t>
      </w:r>
      <w:r w:rsidR="00F90ED3" w:rsidRPr="00453D91">
        <w:rPr>
          <w:rFonts w:ascii="Times" w:hAnsi="Times" w:cs="Times"/>
          <w:sz w:val="26"/>
          <w:szCs w:val="26"/>
        </w:rPr>
        <w:t>2018,</w:t>
      </w:r>
      <w:r w:rsidRPr="00453D91">
        <w:rPr>
          <w:rFonts w:ascii="Times" w:hAnsi="Times" w:cs="Times"/>
          <w:sz w:val="26"/>
          <w:szCs w:val="26"/>
        </w:rPr>
        <w:t xml:space="preserve"> on a prospective basis</w:t>
      </w:r>
      <w:r w:rsidR="00C752F9" w:rsidRPr="00453D91">
        <w:rPr>
          <w:rFonts w:ascii="Times" w:hAnsi="Times" w:cs="Times"/>
          <w:sz w:val="26"/>
          <w:szCs w:val="26"/>
        </w:rPr>
        <w:t xml:space="preserve">.  </w:t>
      </w:r>
      <w:r w:rsidRPr="00453D91">
        <w:rPr>
          <w:rFonts w:ascii="Times" w:hAnsi="Times" w:cs="Times"/>
          <w:sz w:val="26"/>
          <w:szCs w:val="26"/>
        </w:rPr>
        <w:t>However, the Commission also recognized that the tax savings from TCJA commenced on January 1, 2018</w:t>
      </w:r>
      <w:r w:rsidR="0072664C" w:rsidRPr="00453D91">
        <w:rPr>
          <w:rFonts w:ascii="Times" w:hAnsi="Times" w:cs="Times"/>
          <w:sz w:val="26"/>
          <w:szCs w:val="26"/>
        </w:rPr>
        <w:t xml:space="preserve">.  </w:t>
      </w:r>
      <w:r w:rsidRPr="00453D91">
        <w:rPr>
          <w:rFonts w:ascii="Times" w:hAnsi="Times" w:cs="Times"/>
          <w:sz w:val="26"/>
          <w:szCs w:val="26"/>
        </w:rPr>
        <w:t xml:space="preserve">In lieu of addressing this portion of the tax savings in the </w:t>
      </w:r>
      <w:r w:rsidR="004F22CB">
        <w:rPr>
          <w:rFonts w:ascii="Times" w:hAnsi="Times" w:cs="Times"/>
          <w:sz w:val="26"/>
          <w:szCs w:val="26"/>
        </w:rPr>
        <w:t>Peoples Gas Compliance Order</w:t>
      </w:r>
      <w:r w:rsidRPr="00453D91">
        <w:rPr>
          <w:rFonts w:ascii="Times" w:hAnsi="Times" w:cs="Times"/>
          <w:sz w:val="26"/>
          <w:szCs w:val="26"/>
        </w:rPr>
        <w:t xml:space="preserve">, the Commission directed Peoples Gas to establish a “deferred regulatory liability” account to record on its books the tax savings associated with the TCJA for the </w:t>
      </w:r>
      <w:r w:rsidR="00B85CEF">
        <w:rPr>
          <w:rFonts w:ascii="Times" w:hAnsi="Times" w:cs="Times"/>
          <w:sz w:val="26"/>
          <w:szCs w:val="26"/>
        </w:rPr>
        <w:t>Stub Period</w:t>
      </w:r>
      <w:r w:rsidR="00C752F9">
        <w:rPr>
          <w:rFonts w:ascii="Times" w:hAnsi="Times" w:cs="Times"/>
          <w:sz w:val="26"/>
          <w:szCs w:val="26"/>
        </w:rPr>
        <w:t>.</w:t>
      </w:r>
      <w:r w:rsidR="00C752F9" w:rsidRPr="00453D91">
        <w:rPr>
          <w:rFonts w:ascii="Times" w:hAnsi="Times" w:cs="Times"/>
          <w:sz w:val="26"/>
          <w:szCs w:val="26"/>
        </w:rPr>
        <w:t xml:space="preserve">  </w:t>
      </w:r>
      <w:r w:rsidRPr="00453D91">
        <w:rPr>
          <w:rFonts w:ascii="Times" w:hAnsi="Times" w:cs="Times"/>
          <w:sz w:val="26"/>
          <w:szCs w:val="26"/>
        </w:rPr>
        <w:t xml:space="preserve">The </w:t>
      </w:r>
      <w:r w:rsidR="004F22CB">
        <w:rPr>
          <w:rFonts w:ascii="Times" w:hAnsi="Times" w:cs="Times"/>
          <w:sz w:val="26"/>
          <w:szCs w:val="26"/>
        </w:rPr>
        <w:t>o</w:t>
      </w:r>
      <w:r w:rsidRPr="00453D91">
        <w:rPr>
          <w:rFonts w:ascii="Times" w:hAnsi="Times" w:cs="Times"/>
          <w:sz w:val="26"/>
          <w:szCs w:val="26"/>
        </w:rPr>
        <w:t>rder also directed that: the account shall accrue interest at the residential mortgage lending rate specified by the Secretary of Banking in accordance with the Loan Interest and Protection Law (41</w:t>
      </w:r>
      <w:r w:rsidR="006E0BB6" w:rsidRPr="00453D91">
        <w:rPr>
          <w:rFonts w:ascii="Times" w:hAnsi="Times" w:cs="Times"/>
          <w:sz w:val="26"/>
          <w:szCs w:val="26"/>
        </w:rPr>
        <w:t xml:space="preserve">. </w:t>
      </w:r>
      <w:r w:rsidRPr="00453D91">
        <w:rPr>
          <w:rFonts w:ascii="Times" w:hAnsi="Times" w:cs="Times"/>
          <w:sz w:val="26"/>
          <w:szCs w:val="26"/>
        </w:rPr>
        <w:t>P.S. §§ 101, et seq.); the rate treatment of this amount plus accrued interest shall be addressed in Peoples Gas’</w:t>
      </w:r>
      <w:r w:rsidR="009619DA">
        <w:rPr>
          <w:rFonts w:ascii="Times" w:hAnsi="Times" w:cs="Times"/>
          <w:sz w:val="26"/>
          <w:szCs w:val="26"/>
        </w:rPr>
        <w:t>s</w:t>
      </w:r>
      <w:r w:rsidRPr="00453D91">
        <w:rPr>
          <w:rFonts w:ascii="Times" w:hAnsi="Times" w:cs="Times"/>
          <w:sz w:val="26"/>
          <w:szCs w:val="26"/>
        </w:rPr>
        <w:t xml:space="preserve"> next base rate case; in that future proceeding, Peoples Gas and parties can address the appropriate negative surcharge, amortization or other disposition of this deferred regulatory liability, including any legal issues; and if Peoples Gas has not filed, within three (3) years of May 17, 2018</w:t>
      </w:r>
      <w:r w:rsidR="00380D8D">
        <w:rPr>
          <w:rFonts w:ascii="Times" w:hAnsi="Times" w:cs="Times"/>
          <w:sz w:val="26"/>
          <w:szCs w:val="26"/>
        </w:rPr>
        <w:t xml:space="preserve">, </w:t>
      </w:r>
      <w:r w:rsidRPr="00453D91">
        <w:rPr>
          <w:rFonts w:ascii="Times" w:hAnsi="Times" w:cs="Times"/>
          <w:sz w:val="26"/>
          <w:szCs w:val="26"/>
        </w:rPr>
        <w:t>a Section 1308(d) general base rate case, Peoples Gas must file a petition to propose how to distribute the funds in the deferred regulatory liability account related to the Stub Period</w:t>
      </w:r>
      <w:r w:rsidR="007532DE">
        <w:rPr>
          <w:rFonts w:ascii="Times" w:hAnsi="Times" w:cs="Times"/>
          <w:sz w:val="26"/>
          <w:szCs w:val="26"/>
        </w:rPr>
        <w:t>.</w:t>
      </w:r>
    </w:p>
    <w:p w14:paraId="77090375" w14:textId="77777777" w:rsidR="007532DE" w:rsidRDefault="007532DE" w:rsidP="007579C8">
      <w:pPr>
        <w:pStyle w:val="p3"/>
        <w:tabs>
          <w:tab w:val="left" w:pos="720"/>
        </w:tabs>
        <w:spacing w:line="360" w:lineRule="auto"/>
        <w:rPr>
          <w:rFonts w:ascii="Times" w:hAnsi="Times" w:cs="Times"/>
          <w:sz w:val="26"/>
          <w:szCs w:val="26"/>
        </w:rPr>
      </w:pPr>
    </w:p>
    <w:p w14:paraId="70C4F9E4" w14:textId="2DBA109E" w:rsidR="000541A6" w:rsidRDefault="000541A6" w:rsidP="007579C8">
      <w:pPr>
        <w:pStyle w:val="p3"/>
        <w:tabs>
          <w:tab w:val="left" w:pos="720"/>
        </w:tabs>
        <w:spacing w:line="360" w:lineRule="auto"/>
        <w:rPr>
          <w:rFonts w:ascii="Times" w:hAnsi="Times" w:cs="Times"/>
          <w:sz w:val="26"/>
          <w:szCs w:val="26"/>
        </w:rPr>
      </w:pPr>
      <w:r>
        <w:rPr>
          <w:rFonts w:ascii="Times" w:hAnsi="Times" w:cs="Times"/>
          <w:sz w:val="26"/>
          <w:szCs w:val="26"/>
        </w:rPr>
        <w:tab/>
      </w:r>
      <w:r>
        <w:rPr>
          <w:rFonts w:ascii="Times" w:hAnsi="Times" w:cs="Times"/>
          <w:sz w:val="26"/>
          <w:szCs w:val="26"/>
        </w:rPr>
        <w:tab/>
      </w:r>
      <w:r w:rsidR="00D519FB">
        <w:rPr>
          <w:rFonts w:ascii="Times" w:hAnsi="Times" w:cs="Times"/>
          <w:sz w:val="26"/>
          <w:szCs w:val="26"/>
        </w:rPr>
        <w:t>On June 4, 2018, t</w:t>
      </w:r>
      <w:r w:rsidR="003F448C">
        <w:rPr>
          <w:rFonts w:ascii="Times" w:hAnsi="Times" w:cs="Times"/>
          <w:sz w:val="26"/>
          <w:szCs w:val="26"/>
        </w:rPr>
        <w:t>he Company</w:t>
      </w:r>
      <w:r w:rsidRPr="000541A6">
        <w:rPr>
          <w:rFonts w:ascii="Times" w:hAnsi="Times" w:cs="Times"/>
          <w:sz w:val="26"/>
          <w:szCs w:val="26"/>
        </w:rPr>
        <w:t xml:space="preserve"> </w:t>
      </w:r>
      <w:r w:rsidR="00D519FB">
        <w:rPr>
          <w:rFonts w:ascii="Times" w:hAnsi="Times" w:cs="Times"/>
          <w:sz w:val="26"/>
          <w:szCs w:val="26"/>
        </w:rPr>
        <w:t xml:space="preserve">filed a petition for </w:t>
      </w:r>
      <w:r w:rsidR="00B134AB">
        <w:rPr>
          <w:rFonts w:ascii="Times" w:hAnsi="Times" w:cs="Times"/>
          <w:sz w:val="26"/>
          <w:szCs w:val="26"/>
        </w:rPr>
        <w:t>reconsideration as</w:t>
      </w:r>
      <w:r w:rsidR="00332FBE">
        <w:rPr>
          <w:rFonts w:ascii="Times" w:hAnsi="Times" w:cs="Times"/>
          <w:sz w:val="26"/>
          <w:szCs w:val="26"/>
        </w:rPr>
        <w:t xml:space="preserve"> it </w:t>
      </w:r>
      <w:r w:rsidRPr="000541A6">
        <w:rPr>
          <w:rFonts w:ascii="Times" w:hAnsi="Times" w:cs="Times"/>
          <w:sz w:val="26"/>
          <w:szCs w:val="26"/>
        </w:rPr>
        <w:t xml:space="preserve">determined that </w:t>
      </w:r>
      <w:r w:rsidR="00315E95">
        <w:rPr>
          <w:rFonts w:ascii="Times" w:hAnsi="Times" w:cs="Times"/>
          <w:sz w:val="26"/>
          <w:szCs w:val="26"/>
        </w:rPr>
        <w:t xml:space="preserve">the </w:t>
      </w:r>
      <w:r w:rsidR="003F448C">
        <w:rPr>
          <w:rFonts w:ascii="Times" w:hAnsi="Times" w:cs="Times"/>
          <w:sz w:val="26"/>
          <w:szCs w:val="26"/>
        </w:rPr>
        <w:t xml:space="preserve">negative surcharge utilized in the </w:t>
      </w:r>
      <w:r w:rsidR="00315E95">
        <w:rPr>
          <w:rFonts w:ascii="Times" w:hAnsi="Times" w:cs="Times"/>
          <w:sz w:val="26"/>
          <w:szCs w:val="26"/>
        </w:rPr>
        <w:t>P</w:t>
      </w:r>
      <w:r w:rsidR="003F448C">
        <w:rPr>
          <w:rFonts w:ascii="Times" w:hAnsi="Times" w:cs="Times"/>
          <w:sz w:val="26"/>
          <w:szCs w:val="26"/>
        </w:rPr>
        <w:t>eoples</w:t>
      </w:r>
      <w:r w:rsidR="00315E95">
        <w:rPr>
          <w:rFonts w:ascii="Times" w:hAnsi="Times" w:cs="Times"/>
          <w:sz w:val="26"/>
          <w:szCs w:val="26"/>
        </w:rPr>
        <w:t xml:space="preserve"> Gas Compliance Order</w:t>
      </w:r>
      <w:r w:rsidRPr="000541A6">
        <w:rPr>
          <w:rFonts w:ascii="Times" w:hAnsi="Times" w:cs="Times"/>
          <w:sz w:val="26"/>
          <w:szCs w:val="26"/>
        </w:rPr>
        <w:t xml:space="preserve"> did not fully reflect the tax reductions intended by the </w:t>
      </w:r>
      <w:r w:rsidR="0014155C" w:rsidRPr="000541A6">
        <w:rPr>
          <w:rFonts w:ascii="Times" w:hAnsi="Times" w:cs="Times"/>
          <w:sz w:val="26"/>
          <w:szCs w:val="26"/>
        </w:rPr>
        <w:t>Commission</w:t>
      </w:r>
      <w:r w:rsidR="0014155C">
        <w:rPr>
          <w:rFonts w:ascii="Times" w:hAnsi="Times" w:cs="Times"/>
          <w:sz w:val="26"/>
          <w:szCs w:val="26"/>
        </w:rPr>
        <w:t xml:space="preserve">. </w:t>
      </w:r>
      <w:r w:rsidR="004A2010">
        <w:rPr>
          <w:rFonts w:ascii="Times" w:hAnsi="Times" w:cs="Times"/>
          <w:sz w:val="26"/>
          <w:szCs w:val="26"/>
        </w:rPr>
        <w:t xml:space="preserve"> </w:t>
      </w:r>
      <w:r w:rsidR="00643D97" w:rsidRPr="00643D97">
        <w:rPr>
          <w:rFonts w:ascii="Times" w:hAnsi="Times" w:cs="Times"/>
          <w:sz w:val="26"/>
          <w:szCs w:val="26"/>
        </w:rPr>
        <w:t>The petition for reconsideration stated a corrected negative surcharge of 6.6820% which was approved by the Commission by Reconsideration Order entered on June 14, 2018</w:t>
      </w:r>
      <w:r w:rsidR="0072664C" w:rsidRPr="00643D97">
        <w:rPr>
          <w:rFonts w:ascii="Times" w:hAnsi="Times" w:cs="Times"/>
          <w:sz w:val="26"/>
          <w:szCs w:val="26"/>
        </w:rPr>
        <w:t xml:space="preserve">.  </w:t>
      </w:r>
      <w:r w:rsidR="00643D97" w:rsidRPr="00643D97">
        <w:rPr>
          <w:rFonts w:ascii="Times" w:hAnsi="Times" w:cs="Times"/>
          <w:sz w:val="26"/>
          <w:szCs w:val="26"/>
        </w:rPr>
        <w:t xml:space="preserve">The petition for reconsideration did not request modification and the Reconsideration Order did not modify any of the procedures approved in the </w:t>
      </w:r>
      <w:r w:rsidR="000C6BB9">
        <w:rPr>
          <w:rFonts w:ascii="Times" w:hAnsi="Times" w:cs="Times"/>
          <w:sz w:val="26"/>
          <w:szCs w:val="26"/>
        </w:rPr>
        <w:t>Peoples Gas Compliance</w:t>
      </w:r>
      <w:r w:rsidR="00643D97" w:rsidRPr="00643D97">
        <w:rPr>
          <w:rFonts w:ascii="Times" w:hAnsi="Times" w:cs="Times"/>
          <w:sz w:val="26"/>
          <w:szCs w:val="26"/>
        </w:rPr>
        <w:t xml:space="preserve"> Order related to the establishment of the deferred regulatory liability account and the distribution of funds in that account.</w:t>
      </w:r>
    </w:p>
    <w:p w14:paraId="3F276692" w14:textId="77777777" w:rsidR="005F4188" w:rsidRDefault="005F4188" w:rsidP="007579C8">
      <w:pPr>
        <w:pStyle w:val="p3"/>
        <w:tabs>
          <w:tab w:val="left" w:pos="720"/>
        </w:tabs>
        <w:spacing w:line="360" w:lineRule="auto"/>
        <w:rPr>
          <w:rFonts w:ascii="Times" w:hAnsi="Times" w:cs="Times"/>
          <w:sz w:val="26"/>
          <w:szCs w:val="26"/>
        </w:rPr>
      </w:pPr>
    </w:p>
    <w:p w14:paraId="3EBA3633" w14:textId="77777777" w:rsidR="00A900F3" w:rsidRDefault="00A900F3" w:rsidP="00A900F3">
      <w:pPr>
        <w:pStyle w:val="p3"/>
        <w:tabs>
          <w:tab w:val="clear" w:pos="204"/>
        </w:tabs>
        <w:spacing w:line="360" w:lineRule="auto"/>
        <w:rPr>
          <w:rFonts w:ascii="Times" w:hAnsi="Times" w:cs="Times"/>
          <w:b/>
          <w:sz w:val="26"/>
          <w:szCs w:val="26"/>
        </w:rPr>
      </w:pPr>
      <w:r w:rsidRPr="00595D86">
        <w:rPr>
          <w:rFonts w:ascii="Times" w:hAnsi="Times" w:cs="Times"/>
          <w:b/>
          <w:sz w:val="26"/>
          <w:szCs w:val="26"/>
        </w:rPr>
        <w:t>The Petition</w:t>
      </w:r>
    </w:p>
    <w:p w14:paraId="441A42D8" w14:textId="2D1B7833" w:rsidR="00604407" w:rsidRDefault="00604407" w:rsidP="00702DC6">
      <w:pPr>
        <w:pStyle w:val="p3"/>
        <w:spacing w:line="360" w:lineRule="auto"/>
        <w:rPr>
          <w:rFonts w:ascii="Times" w:hAnsi="Times" w:cs="Times"/>
          <w:sz w:val="26"/>
          <w:szCs w:val="26"/>
        </w:rPr>
      </w:pPr>
    </w:p>
    <w:p w14:paraId="11DF01D7" w14:textId="1CE37667" w:rsidR="009C3F86" w:rsidRDefault="009C3F86" w:rsidP="00702DC6">
      <w:pPr>
        <w:pStyle w:val="p3"/>
        <w:spacing w:line="360" w:lineRule="auto"/>
        <w:rPr>
          <w:rFonts w:ascii="Times" w:hAnsi="Times" w:cs="Times"/>
          <w:sz w:val="26"/>
          <w:szCs w:val="26"/>
        </w:rPr>
      </w:pPr>
      <w:r>
        <w:rPr>
          <w:rFonts w:ascii="Times" w:hAnsi="Times" w:cs="Times"/>
          <w:sz w:val="26"/>
          <w:szCs w:val="26"/>
        </w:rPr>
        <w:tab/>
      </w:r>
      <w:r>
        <w:rPr>
          <w:rFonts w:ascii="Times" w:hAnsi="Times" w:cs="Times"/>
          <w:sz w:val="26"/>
          <w:szCs w:val="26"/>
        </w:rPr>
        <w:tab/>
      </w:r>
      <w:r w:rsidRPr="009C3F86">
        <w:rPr>
          <w:rFonts w:ascii="Times" w:hAnsi="Times" w:cs="Times"/>
          <w:sz w:val="26"/>
          <w:szCs w:val="26"/>
        </w:rPr>
        <w:t xml:space="preserve">The </w:t>
      </w:r>
      <w:r w:rsidR="00515C5C">
        <w:rPr>
          <w:rFonts w:ascii="Times" w:hAnsi="Times" w:cs="Times"/>
          <w:sz w:val="26"/>
          <w:szCs w:val="26"/>
        </w:rPr>
        <w:t>Peoples Gas Compliance O</w:t>
      </w:r>
      <w:r w:rsidRPr="009C3F86">
        <w:rPr>
          <w:rFonts w:ascii="Times" w:hAnsi="Times" w:cs="Times"/>
          <w:sz w:val="26"/>
          <w:szCs w:val="26"/>
        </w:rPr>
        <w:t>rder provided that if Peoples Gas has not filed, within three (3) years of May 17, 2018</w:t>
      </w:r>
      <w:r w:rsidR="00515C5C">
        <w:rPr>
          <w:rFonts w:ascii="Times" w:hAnsi="Times" w:cs="Times"/>
          <w:sz w:val="26"/>
          <w:szCs w:val="26"/>
        </w:rPr>
        <w:t>,</w:t>
      </w:r>
      <w:r w:rsidRPr="009C3F86">
        <w:rPr>
          <w:rFonts w:ascii="Times" w:hAnsi="Times" w:cs="Times"/>
          <w:sz w:val="26"/>
          <w:szCs w:val="26"/>
        </w:rPr>
        <w:t xml:space="preserve"> a Section 1308(d) general base rate case, Peoples Gas must file a petition to propose how to distribute the Stub Period funds in the regulatory liability account</w:t>
      </w:r>
      <w:r w:rsidR="00D96355" w:rsidRPr="009C3F86">
        <w:rPr>
          <w:rFonts w:ascii="Times" w:hAnsi="Times" w:cs="Times"/>
          <w:sz w:val="26"/>
          <w:szCs w:val="26"/>
        </w:rPr>
        <w:t xml:space="preserve">.  </w:t>
      </w:r>
      <w:r w:rsidRPr="009C3F86">
        <w:rPr>
          <w:rFonts w:ascii="Times" w:hAnsi="Times" w:cs="Times"/>
          <w:sz w:val="26"/>
          <w:szCs w:val="26"/>
        </w:rPr>
        <w:t>Peoples Gas has not filed a Section 1308(d) general base rate case during that three-year period</w:t>
      </w:r>
      <w:r w:rsidR="0072664C" w:rsidRPr="009C3F86">
        <w:rPr>
          <w:rFonts w:ascii="Times" w:hAnsi="Times" w:cs="Times"/>
          <w:sz w:val="26"/>
          <w:szCs w:val="26"/>
        </w:rPr>
        <w:t xml:space="preserve">.  </w:t>
      </w:r>
      <w:r w:rsidRPr="009C3F86">
        <w:rPr>
          <w:rFonts w:ascii="Times" w:hAnsi="Times" w:cs="Times"/>
          <w:sz w:val="26"/>
          <w:szCs w:val="26"/>
        </w:rPr>
        <w:t>Peoples Gas, therefore, now files this petition for approval of distribution of the funds in the regulatory liability account</w:t>
      </w:r>
      <w:r>
        <w:rPr>
          <w:rFonts w:ascii="Times" w:hAnsi="Times" w:cs="Times"/>
          <w:sz w:val="26"/>
          <w:szCs w:val="26"/>
        </w:rPr>
        <w:t>.</w:t>
      </w:r>
    </w:p>
    <w:p w14:paraId="025370E9" w14:textId="77777777" w:rsidR="009C3F86" w:rsidRDefault="009C3F86" w:rsidP="00702DC6">
      <w:pPr>
        <w:pStyle w:val="p3"/>
        <w:spacing w:line="360" w:lineRule="auto"/>
        <w:rPr>
          <w:rFonts w:ascii="Times" w:hAnsi="Times" w:cs="Times"/>
          <w:sz w:val="26"/>
          <w:szCs w:val="26"/>
        </w:rPr>
      </w:pPr>
    </w:p>
    <w:p w14:paraId="6A648E04" w14:textId="651E05E2" w:rsidR="003F3D73" w:rsidRDefault="00A809A7" w:rsidP="00604407">
      <w:pPr>
        <w:pStyle w:val="p3"/>
        <w:widowControl/>
        <w:tabs>
          <w:tab w:val="clear" w:pos="204"/>
          <w:tab w:val="left" w:pos="720"/>
        </w:tabs>
        <w:spacing w:line="360" w:lineRule="auto"/>
        <w:ind w:firstLine="720"/>
        <w:rPr>
          <w:rFonts w:ascii="Times" w:hAnsi="Times" w:cs="Times"/>
          <w:sz w:val="26"/>
          <w:szCs w:val="26"/>
        </w:rPr>
      </w:pPr>
      <w:r w:rsidRPr="00A809A7">
        <w:rPr>
          <w:rFonts w:ascii="Times" w:hAnsi="Times" w:cs="Times"/>
          <w:sz w:val="26"/>
          <w:szCs w:val="26"/>
        </w:rPr>
        <w:t>The Company currently estimates a total refund obligation of $3,723,470</w:t>
      </w:r>
      <w:r w:rsidR="00D96355" w:rsidRPr="00A809A7">
        <w:rPr>
          <w:rFonts w:ascii="Times" w:hAnsi="Times" w:cs="Times"/>
          <w:sz w:val="26"/>
          <w:szCs w:val="26"/>
        </w:rPr>
        <w:t xml:space="preserve">.  </w:t>
      </w:r>
      <w:r w:rsidRPr="00A809A7">
        <w:rPr>
          <w:rFonts w:ascii="Times" w:hAnsi="Times" w:cs="Times"/>
          <w:sz w:val="26"/>
          <w:szCs w:val="26"/>
        </w:rPr>
        <w:t>This amount includes $3,087,632 representing the tax savings associated with the TCJA for the Stub Period, plus $635,838 of projected interest accrued at the residential mortgage lending rate specified by the Secretary of Banking in accordance with the Loan Interest and Protection Law (41</w:t>
      </w:r>
      <w:r w:rsidR="006E0BB6" w:rsidRPr="00A809A7">
        <w:rPr>
          <w:rFonts w:ascii="Times" w:hAnsi="Times" w:cs="Times"/>
          <w:sz w:val="26"/>
          <w:szCs w:val="26"/>
        </w:rPr>
        <w:t xml:space="preserve">. </w:t>
      </w:r>
      <w:r w:rsidRPr="00A809A7">
        <w:rPr>
          <w:rFonts w:ascii="Times" w:hAnsi="Times" w:cs="Times"/>
          <w:sz w:val="26"/>
          <w:szCs w:val="26"/>
        </w:rPr>
        <w:t>P.S. §§ 101, et seq.) through June 2022, the midpoint of the proposed refund period</w:t>
      </w:r>
      <w:r w:rsidR="006E0BB6" w:rsidRPr="00A809A7">
        <w:rPr>
          <w:rFonts w:ascii="Times" w:hAnsi="Times" w:cs="Times"/>
          <w:sz w:val="26"/>
          <w:szCs w:val="26"/>
        </w:rPr>
        <w:t xml:space="preserve">.  </w:t>
      </w:r>
      <w:r w:rsidRPr="00A809A7">
        <w:rPr>
          <w:rFonts w:ascii="Times" w:hAnsi="Times" w:cs="Times"/>
          <w:sz w:val="26"/>
          <w:szCs w:val="26"/>
        </w:rPr>
        <w:t>Peoples Gas proposes to distribute these funds over the calendar year 2022 through an adjustment to the TCJA Temporary Surcharge as part of the annual TCJA Temporary Surcharge filing to be made on December 1, 2021</w:t>
      </w:r>
      <w:r>
        <w:rPr>
          <w:rFonts w:ascii="Times" w:hAnsi="Times" w:cs="Times"/>
          <w:sz w:val="26"/>
          <w:szCs w:val="26"/>
        </w:rPr>
        <w:t>.</w:t>
      </w:r>
    </w:p>
    <w:p w14:paraId="7335FBC7" w14:textId="77777777" w:rsidR="00A809A7" w:rsidRDefault="00A809A7" w:rsidP="00604407">
      <w:pPr>
        <w:pStyle w:val="p3"/>
        <w:widowControl/>
        <w:tabs>
          <w:tab w:val="clear" w:pos="204"/>
          <w:tab w:val="left" w:pos="720"/>
        </w:tabs>
        <w:spacing w:line="360" w:lineRule="auto"/>
        <w:ind w:firstLine="720"/>
        <w:rPr>
          <w:rFonts w:ascii="Times" w:hAnsi="Times" w:cs="Times"/>
          <w:sz w:val="26"/>
          <w:szCs w:val="26"/>
        </w:rPr>
      </w:pPr>
    </w:p>
    <w:p w14:paraId="444F394B" w14:textId="339535AF" w:rsidR="003F3D73" w:rsidRDefault="00E65158" w:rsidP="003E2DB4">
      <w:pPr>
        <w:pStyle w:val="p3"/>
        <w:widowControl/>
        <w:tabs>
          <w:tab w:val="clear" w:pos="204"/>
          <w:tab w:val="left" w:pos="720"/>
        </w:tabs>
        <w:spacing w:line="360" w:lineRule="auto"/>
        <w:rPr>
          <w:rFonts w:ascii="Times" w:hAnsi="Times" w:cs="Times"/>
          <w:sz w:val="26"/>
          <w:szCs w:val="26"/>
        </w:rPr>
      </w:pPr>
      <w:r>
        <w:rPr>
          <w:rFonts w:ascii="Times" w:hAnsi="Times" w:cs="Times"/>
          <w:sz w:val="26"/>
          <w:szCs w:val="26"/>
        </w:rPr>
        <w:tab/>
      </w:r>
      <w:r w:rsidRPr="00E65158">
        <w:rPr>
          <w:rFonts w:ascii="Times" w:hAnsi="Times" w:cs="Times"/>
          <w:sz w:val="26"/>
          <w:szCs w:val="26"/>
        </w:rPr>
        <w:t xml:space="preserve">Therefore, if this Petition is granted, Peoples Gas will include the Stub Period liability amount of $3,723,470, inclusive of interest, in the calculation of the negative surcharge in the annual TCJA filing on December 1, </w:t>
      </w:r>
      <w:r w:rsidR="00CA0A91" w:rsidRPr="00E65158">
        <w:rPr>
          <w:rFonts w:ascii="Times" w:hAnsi="Times" w:cs="Times"/>
          <w:sz w:val="26"/>
          <w:szCs w:val="26"/>
        </w:rPr>
        <w:t>2021,</w:t>
      </w:r>
      <w:r w:rsidRPr="00E65158">
        <w:rPr>
          <w:rFonts w:ascii="Times" w:hAnsi="Times" w:cs="Times"/>
          <w:sz w:val="26"/>
          <w:szCs w:val="26"/>
        </w:rPr>
        <w:t xml:space="preserve"> to be effective January 1, 2022.</w:t>
      </w:r>
      <w:r w:rsidR="00FE684A">
        <w:rPr>
          <w:rFonts w:ascii="Times" w:hAnsi="Times" w:cs="Times"/>
          <w:sz w:val="26"/>
          <w:szCs w:val="26"/>
        </w:rPr>
        <w:t xml:space="preserve"> </w:t>
      </w:r>
      <w:r w:rsidRPr="00E65158">
        <w:rPr>
          <w:rFonts w:ascii="Times" w:hAnsi="Times" w:cs="Times"/>
          <w:sz w:val="26"/>
          <w:szCs w:val="26"/>
        </w:rPr>
        <w:t xml:space="preserve"> </w:t>
      </w:r>
      <w:r w:rsidR="00FE684A">
        <w:rPr>
          <w:rFonts w:ascii="Times" w:hAnsi="Times" w:cs="Times"/>
          <w:sz w:val="26"/>
          <w:szCs w:val="26"/>
        </w:rPr>
        <w:t>The</w:t>
      </w:r>
      <w:r w:rsidRPr="00E65158">
        <w:rPr>
          <w:rFonts w:ascii="Times" w:hAnsi="Times" w:cs="Times"/>
          <w:sz w:val="26"/>
          <w:szCs w:val="26"/>
        </w:rPr>
        <w:t xml:space="preserve"> tax savings associated with the TCJA for the Stub Period, plus accrued interest, </w:t>
      </w:r>
      <w:r w:rsidR="00FE684A">
        <w:rPr>
          <w:rFonts w:ascii="Times" w:hAnsi="Times" w:cs="Times"/>
          <w:sz w:val="26"/>
          <w:szCs w:val="26"/>
        </w:rPr>
        <w:t xml:space="preserve">would be distributed </w:t>
      </w:r>
      <w:r w:rsidRPr="00E65158">
        <w:rPr>
          <w:rFonts w:ascii="Times" w:hAnsi="Times" w:cs="Times"/>
          <w:sz w:val="26"/>
          <w:szCs w:val="26"/>
        </w:rPr>
        <w:t>over the</w:t>
      </w:r>
      <w:r w:rsidR="009B2E3A">
        <w:rPr>
          <w:rFonts w:ascii="Times" w:hAnsi="Times" w:cs="Times"/>
          <w:sz w:val="26"/>
          <w:szCs w:val="26"/>
        </w:rPr>
        <w:t xml:space="preserve"> </w:t>
      </w:r>
      <w:r w:rsidR="009B2E3A" w:rsidRPr="009B2E3A">
        <w:rPr>
          <w:rFonts w:ascii="Times" w:hAnsi="Times" w:cs="Times"/>
          <w:sz w:val="26"/>
          <w:szCs w:val="26"/>
        </w:rPr>
        <w:t>calendar year 2022</w:t>
      </w:r>
      <w:r w:rsidR="00CA0A91" w:rsidRPr="009B2E3A">
        <w:rPr>
          <w:rFonts w:ascii="Times" w:hAnsi="Times" w:cs="Times"/>
          <w:sz w:val="26"/>
          <w:szCs w:val="26"/>
        </w:rPr>
        <w:t xml:space="preserve">.  </w:t>
      </w:r>
      <w:r w:rsidR="009B2E3A" w:rsidRPr="009B2E3A">
        <w:rPr>
          <w:rFonts w:ascii="Times" w:hAnsi="Times" w:cs="Times"/>
          <w:sz w:val="26"/>
          <w:szCs w:val="26"/>
        </w:rPr>
        <w:t>In the next TCJA Temporary Surcharge annual filing to be made on December 1, 2022, Peoples Gas will remove the Stub Period liability amount from the TCJA negative surcharge rate effective January 1, 2023</w:t>
      </w:r>
      <w:r w:rsidR="0072664C" w:rsidRPr="009B2E3A">
        <w:rPr>
          <w:rFonts w:ascii="Times" w:hAnsi="Times" w:cs="Times"/>
          <w:sz w:val="26"/>
          <w:szCs w:val="26"/>
        </w:rPr>
        <w:t xml:space="preserve">.  </w:t>
      </w:r>
      <w:r w:rsidR="009B2E3A" w:rsidRPr="009B2E3A">
        <w:rPr>
          <w:rFonts w:ascii="Times" w:hAnsi="Times" w:cs="Times"/>
          <w:sz w:val="26"/>
          <w:szCs w:val="26"/>
        </w:rPr>
        <w:t>Any over or under refund of the Stub Period liability amount will be reconciled via the normal annual reconciliation mechanism for the TCJA Temporary Surcharge pursuant to 1307(e) and provided for in the Company’s tariff.</w:t>
      </w:r>
    </w:p>
    <w:p w14:paraId="7C5A753F" w14:textId="77777777" w:rsidR="009B2E3A" w:rsidRDefault="009B2E3A" w:rsidP="003E2DB4">
      <w:pPr>
        <w:pStyle w:val="p3"/>
        <w:widowControl/>
        <w:tabs>
          <w:tab w:val="clear" w:pos="204"/>
          <w:tab w:val="left" w:pos="720"/>
        </w:tabs>
        <w:spacing w:line="360" w:lineRule="auto"/>
        <w:rPr>
          <w:rFonts w:ascii="Times" w:hAnsi="Times" w:cs="Times"/>
          <w:sz w:val="26"/>
          <w:szCs w:val="26"/>
        </w:rPr>
      </w:pPr>
    </w:p>
    <w:p w14:paraId="01D5B7DD" w14:textId="77777777" w:rsidR="00A900F3" w:rsidRDefault="00A900F3" w:rsidP="00A900F3">
      <w:pPr>
        <w:pStyle w:val="p3"/>
        <w:tabs>
          <w:tab w:val="clear" w:pos="204"/>
        </w:tabs>
        <w:spacing w:line="360" w:lineRule="auto"/>
        <w:rPr>
          <w:rFonts w:ascii="Times" w:hAnsi="Times" w:cs="Times"/>
          <w:b/>
          <w:sz w:val="26"/>
          <w:szCs w:val="26"/>
        </w:rPr>
      </w:pPr>
      <w:r w:rsidRPr="00595D86">
        <w:rPr>
          <w:rFonts w:ascii="Times" w:hAnsi="Times" w:cs="Times"/>
          <w:b/>
          <w:sz w:val="26"/>
          <w:szCs w:val="26"/>
        </w:rPr>
        <w:t>Discussion</w:t>
      </w:r>
    </w:p>
    <w:p w14:paraId="6A5562C9" w14:textId="77777777" w:rsidR="003A3D73" w:rsidRDefault="003A3D73" w:rsidP="00D31B44">
      <w:pPr>
        <w:pStyle w:val="p3"/>
        <w:tabs>
          <w:tab w:val="clear" w:pos="204"/>
        </w:tabs>
        <w:spacing w:line="360" w:lineRule="auto"/>
        <w:rPr>
          <w:rFonts w:ascii="Times" w:hAnsi="Times" w:cs="Times"/>
          <w:sz w:val="26"/>
          <w:szCs w:val="26"/>
        </w:rPr>
      </w:pPr>
    </w:p>
    <w:p w14:paraId="19C07753" w14:textId="21E590AC" w:rsidR="009E00C8" w:rsidRDefault="003A3D73" w:rsidP="00632AAA">
      <w:pPr>
        <w:pStyle w:val="p3"/>
        <w:tabs>
          <w:tab w:val="clear" w:pos="204"/>
        </w:tabs>
        <w:spacing w:line="360" w:lineRule="auto"/>
        <w:ind w:firstLine="720"/>
        <w:rPr>
          <w:rFonts w:ascii="Times" w:hAnsi="Times" w:cs="Times"/>
          <w:sz w:val="26"/>
          <w:szCs w:val="26"/>
        </w:rPr>
      </w:pPr>
      <w:r>
        <w:rPr>
          <w:rFonts w:ascii="Times" w:hAnsi="Times" w:cs="Times"/>
          <w:sz w:val="26"/>
          <w:szCs w:val="26"/>
        </w:rPr>
        <w:t xml:space="preserve">The </w:t>
      </w:r>
      <w:r w:rsidR="000B58DD">
        <w:rPr>
          <w:rFonts w:ascii="Times" w:hAnsi="Times" w:cs="Times"/>
          <w:sz w:val="26"/>
          <w:szCs w:val="26"/>
        </w:rPr>
        <w:t>Peoples Gas</w:t>
      </w:r>
      <w:r>
        <w:rPr>
          <w:rFonts w:ascii="Times" w:hAnsi="Times" w:cs="Times"/>
          <w:sz w:val="26"/>
          <w:szCs w:val="26"/>
        </w:rPr>
        <w:t xml:space="preserve"> Compliance Order required </w:t>
      </w:r>
      <w:r w:rsidR="000B58DD">
        <w:rPr>
          <w:rFonts w:ascii="Times" w:hAnsi="Times" w:cs="Times"/>
          <w:sz w:val="26"/>
          <w:szCs w:val="26"/>
        </w:rPr>
        <w:t>Peoples Gas</w:t>
      </w:r>
      <w:r>
        <w:rPr>
          <w:rFonts w:ascii="Times" w:hAnsi="Times" w:cs="Times"/>
          <w:sz w:val="26"/>
          <w:szCs w:val="26"/>
        </w:rPr>
        <w:t xml:space="preserve"> to petition the Commission to distribute the TCJA savings if the rate treatment for this account was not addressed in a 1308(d) general base rate case within three years of the Order entered date.  </w:t>
      </w:r>
      <w:r w:rsidR="00160129">
        <w:rPr>
          <w:rFonts w:ascii="Times" w:hAnsi="Times" w:cs="Times"/>
          <w:sz w:val="26"/>
          <w:szCs w:val="26"/>
        </w:rPr>
        <w:t xml:space="preserve">As </w:t>
      </w:r>
      <w:r w:rsidR="000B58DD">
        <w:rPr>
          <w:rFonts w:ascii="Times" w:hAnsi="Times" w:cs="Times"/>
          <w:sz w:val="26"/>
          <w:szCs w:val="26"/>
        </w:rPr>
        <w:t>Peoples Gas</w:t>
      </w:r>
      <w:r w:rsidR="00314865">
        <w:rPr>
          <w:rFonts w:ascii="Times" w:hAnsi="Times" w:cs="Times"/>
          <w:sz w:val="26"/>
          <w:szCs w:val="26"/>
        </w:rPr>
        <w:t xml:space="preserve"> has not filed </w:t>
      </w:r>
      <w:r w:rsidR="00A97E3A">
        <w:rPr>
          <w:rFonts w:ascii="Times" w:hAnsi="Times" w:cs="Times"/>
          <w:sz w:val="26"/>
          <w:szCs w:val="26"/>
        </w:rPr>
        <w:t xml:space="preserve">a </w:t>
      </w:r>
      <w:r w:rsidR="000E532F">
        <w:rPr>
          <w:rFonts w:ascii="Times" w:hAnsi="Times" w:cs="Times"/>
          <w:sz w:val="26"/>
          <w:szCs w:val="26"/>
        </w:rPr>
        <w:t xml:space="preserve">1308(d) </w:t>
      </w:r>
      <w:r w:rsidR="00A97E3A">
        <w:rPr>
          <w:rFonts w:ascii="Times" w:hAnsi="Times" w:cs="Times"/>
          <w:sz w:val="26"/>
          <w:szCs w:val="26"/>
        </w:rPr>
        <w:t>general base rate case</w:t>
      </w:r>
      <w:r w:rsidR="009C0F4A">
        <w:rPr>
          <w:rFonts w:ascii="Times" w:hAnsi="Times" w:cs="Times"/>
          <w:sz w:val="26"/>
          <w:szCs w:val="26"/>
        </w:rPr>
        <w:t xml:space="preserve"> on or before May 17, 2021</w:t>
      </w:r>
      <w:r w:rsidR="006320A5">
        <w:rPr>
          <w:rFonts w:ascii="Times" w:hAnsi="Times" w:cs="Times"/>
          <w:sz w:val="26"/>
          <w:szCs w:val="26"/>
        </w:rPr>
        <w:t xml:space="preserve">, </w:t>
      </w:r>
      <w:r w:rsidR="008F41E3">
        <w:rPr>
          <w:rFonts w:ascii="Times" w:hAnsi="Times" w:cs="Times"/>
          <w:sz w:val="26"/>
          <w:szCs w:val="26"/>
        </w:rPr>
        <w:t>the Company</w:t>
      </w:r>
      <w:r w:rsidR="006320A5">
        <w:rPr>
          <w:rFonts w:ascii="Times" w:hAnsi="Times" w:cs="Times"/>
          <w:sz w:val="26"/>
          <w:szCs w:val="26"/>
        </w:rPr>
        <w:t xml:space="preserve"> was required to file this petition.</w:t>
      </w:r>
      <w:r w:rsidR="00632AAA">
        <w:rPr>
          <w:rFonts w:ascii="Times" w:hAnsi="Times" w:cs="Times"/>
          <w:sz w:val="26"/>
          <w:szCs w:val="26"/>
        </w:rPr>
        <w:t xml:space="preserve"> </w:t>
      </w:r>
    </w:p>
    <w:p w14:paraId="1C7126BB" w14:textId="77777777" w:rsidR="0097135A" w:rsidRDefault="0097135A" w:rsidP="00867DD4">
      <w:pPr>
        <w:spacing w:line="360" w:lineRule="auto"/>
        <w:rPr>
          <w:rFonts w:ascii="Times" w:hAnsi="Times" w:cs="Times"/>
          <w:sz w:val="26"/>
          <w:szCs w:val="26"/>
        </w:rPr>
      </w:pPr>
    </w:p>
    <w:p w14:paraId="285914DA" w14:textId="46DF5C52" w:rsidR="004F780E" w:rsidRDefault="00F44926" w:rsidP="004F780E">
      <w:pPr>
        <w:spacing w:line="360" w:lineRule="auto"/>
        <w:ind w:firstLine="720"/>
        <w:rPr>
          <w:rFonts w:ascii="Times" w:hAnsi="Times" w:cs="Times"/>
          <w:sz w:val="26"/>
          <w:szCs w:val="26"/>
        </w:rPr>
      </w:pPr>
      <w:r>
        <w:rPr>
          <w:rFonts w:ascii="Times" w:hAnsi="Times" w:cs="Times"/>
          <w:sz w:val="26"/>
          <w:szCs w:val="26"/>
        </w:rPr>
        <w:t>Peoples Gas</w:t>
      </w:r>
      <w:r w:rsidR="004F780E">
        <w:rPr>
          <w:rFonts w:ascii="Times" w:hAnsi="Times" w:cs="Times"/>
          <w:sz w:val="26"/>
          <w:szCs w:val="26"/>
        </w:rPr>
        <w:t xml:space="preserve"> has not included tax savings associated with excess accumulated deferred income taxes (EADIT) for the January 1, 2018 to June 30, 2018 period.  The Commission notes that it has previously approved petitions to refund TCJA-related tax savings for the period prior to July 1, 2018.  The previous approvals included the flowback of EADIT</w:t>
      </w:r>
      <w:r w:rsidR="00DD57D4">
        <w:rPr>
          <w:rFonts w:ascii="Times" w:hAnsi="Times" w:cs="Times"/>
          <w:sz w:val="26"/>
          <w:szCs w:val="26"/>
        </w:rPr>
        <w:t>.</w:t>
      </w:r>
      <w:r w:rsidR="00DD57D4" w:rsidRPr="00F65C4A">
        <w:rPr>
          <w:rFonts w:ascii="Times" w:hAnsi="Times" w:cs="Times"/>
          <w:i/>
          <w:iCs/>
          <w:sz w:val="26"/>
          <w:szCs w:val="26"/>
        </w:rPr>
        <w:t xml:space="preserve">  </w:t>
      </w:r>
      <w:r w:rsidR="004F780E" w:rsidRPr="00F65C4A">
        <w:rPr>
          <w:rFonts w:ascii="Times" w:hAnsi="Times" w:cs="Times"/>
          <w:i/>
          <w:iCs/>
          <w:sz w:val="26"/>
          <w:szCs w:val="26"/>
        </w:rPr>
        <w:t>See, e.g., Petition of PPL Electric Utilities Corporation to Establish a Mechanism to Distribute the Tax Savings Associated with the TCJA for the Period Between January 1, 2018, and June 30, 2018</w:t>
      </w:r>
      <w:r w:rsidR="004F780E" w:rsidRPr="00F65C4A">
        <w:rPr>
          <w:rFonts w:ascii="Times" w:hAnsi="Times" w:cs="Times"/>
          <w:sz w:val="26"/>
          <w:szCs w:val="26"/>
        </w:rPr>
        <w:t>, Docket No. P-2019-3013366 (Order entered Nov. 14, 2019</w:t>
      </w:r>
      <w:bookmarkStart w:id="2" w:name="_Hlk85003088"/>
      <w:r w:rsidR="004F780E" w:rsidRPr="00F65C4A">
        <w:rPr>
          <w:rFonts w:ascii="Times" w:hAnsi="Times" w:cs="Times"/>
          <w:sz w:val="26"/>
          <w:szCs w:val="26"/>
        </w:rPr>
        <w:t>) (approving a proposal to distribute the tax savings associated with the 2018 Period utilizing the utility’s existing TCJA temporary surcharge mechanism)</w:t>
      </w:r>
      <w:bookmarkEnd w:id="2"/>
      <w:r w:rsidR="004F780E">
        <w:rPr>
          <w:rFonts w:ascii="Times" w:hAnsi="Times" w:cs="Times"/>
          <w:sz w:val="26"/>
          <w:szCs w:val="26"/>
        </w:rPr>
        <w:t xml:space="preserve"> </w:t>
      </w:r>
      <w:r w:rsidR="004F780E" w:rsidRPr="00005C8C">
        <w:rPr>
          <w:rFonts w:ascii="Times" w:hAnsi="Times" w:cs="Times"/>
          <w:sz w:val="26"/>
          <w:szCs w:val="26"/>
        </w:rPr>
        <w:t>and</w:t>
      </w:r>
      <w:r w:rsidR="004F780E" w:rsidRPr="00005C8C">
        <w:rPr>
          <w:rFonts w:ascii="Times" w:hAnsi="Times" w:cs="Times"/>
          <w:i/>
          <w:iCs/>
          <w:sz w:val="26"/>
          <w:szCs w:val="26"/>
        </w:rPr>
        <w:t xml:space="preserve"> Petition of National Fuel Gas Distribution Corporation To Establish a Mechanism to Distribute the Tax Savings Associated with the TCJA for the Period Between October 1, 2017, and June 30, 2018</w:t>
      </w:r>
      <w:r w:rsidR="004F780E">
        <w:rPr>
          <w:rFonts w:ascii="Times" w:hAnsi="Times" w:cs="Times"/>
          <w:sz w:val="26"/>
          <w:szCs w:val="26"/>
        </w:rPr>
        <w:t xml:space="preserve">, Docket No. P-2021-3025909 (Order Entered August 26, 2021) </w:t>
      </w:r>
      <w:r w:rsidR="004F780E" w:rsidRPr="00B50A2E">
        <w:rPr>
          <w:rFonts w:ascii="Times" w:hAnsi="Times" w:cs="Times"/>
          <w:sz w:val="26"/>
          <w:szCs w:val="26"/>
        </w:rPr>
        <w:t>(approving a proposal to distribute the tax savings associated with the 2018 Period utilizing the utility’s existing TCJA temporary surcharge mechanism)</w:t>
      </w:r>
      <w:r w:rsidR="004F780E">
        <w:rPr>
          <w:rFonts w:ascii="Times" w:hAnsi="Times" w:cs="Times"/>
          <w:sz w:val="26"/>
          <w:szCs w:val="26"/>
        </w:rPr>
        <w:t xml:space="preserve">. </w:t>
      </w:r>
    </w:p>
    <w:p w14:paraId="7C81C86E" w14:textId="77777777" w:rsidR="004F780E" w:rsidRDefault="004F780E" w:rsidP="004F780E">
      <w:pPr>
        <w:spacing w:line="360" w:lineRule="auto"/>
        <w:rPr>
          <w:rFonts w:ascii="Times" w:hAnsi="Times" w:cs="Times"/>
          <w:sz w:val="26"/>
          <w:szCs w:val="26"/>
        </w:rPr>
      </w:pPr>
    </w:p>
    <w:p w14:paraId="19F330FB" w14:textId="0B988CE0" w:rsidR="004F780E" w:rsidRDefault="00297730" w:rsidP="004F780E">
      <w:pPr>
        <w:spacing w:line="360" w:lineRule="auto"/>
        <w:ind w:firstLine="720"/>
        <w:rPr>
          <w:rFonts w:ascii="Times" w:hAnsi="Times" w:cs="Times"/>
          <w:sz w:val="26"/>
          <w:szCs w:val="26"/>
        </w:rPr>
      </w:pPr>
      <w:r>
        <w:rPr>
          <w:rFonts w:ascii="Times" w:hAnsi="Times" w:cs="Times"/>
          <w:sz w:val="26"/>
          <w:szCs w:val="26"/>
        </w:rPr>
        <w:t>Peoples Gas</w:t>
      </w:r>
      <w:r w:rsidRPr="00297730">
        <w:rPr>
          <w:rFonts w:ascii="Times" w:hAnsi="Times" w:cs="Times"/>
          <w:sz w:val="26"/>
          <w:szCs w:val="26"/>
        </w:rPr>
        <w:t xml:space="preserve"> </w:t>
      </w:r>
      <w:r w:rsidR="0088341A">
        <w:rPr>
          <w:rFonts w:ascii="Times" w:hAnsi="Times" w:cs="Times"/>
          <w:sz w:val="26"/>
          <w:szCs w:val="26"/>
        </w:rPr>
        <w:t xml:space="preserve">states it </w:t>
      </w:r>
      <w:r w:rsidRPr="00297730">
        <w:rPr>
          <w:rFonts w:ascii="Times" w:hAnsi="Times" w:cs="Times"/>
          <w:sz w:val="26"/>
          <w:szCs w:val="26"/>
        </w:rPr>
        <w:t xml:space="preserve">has not flowed back </w:t>
      </w:r>
      <w:r w:rsidR="0088341A">
        <w:rPr>
          <w:rFonts w:ascii="Times" w:hAnsi="Times" w:cs="Times"/>
          <w:sz w:val="26"/>
          <w:szCs w:val="26"/>
        </w:rPr>
        <w:t>E</w:t>
      </w:r>
      <w:r w:rsidRPr="00297730">
        <w:rPr>
          <w:rFonts w:ascii="Times" w:hAnsi="Times" w:cs="Times"/>
          <w:sz w:val="26"/>
          <w:szCs w:val="26"/>
        </w:rPr>
        <w:t xml:space="preserve">ADIT to customers at this time as </w:t>
      </w:r>
      <w:r w:rsidR="00F64ADD">
        <w:rPr>
          <w:rFonts w:ascii="Times" w:hAnsi="Times" w:cs="Times"/>
          <w:sz w:val="26"/>
          <w:szCs w:val="26"/>
        </w:rPr>
        <w:t>E</w:t>
      </w:r>
      <w:r w:rsidRPr="00297730">
        <w:rPr>
          <w:rFonts w:ascii="Times" w:hAnsi="Times" w:cs="Times"/>
          <w:sz w:val="26"/>
          <w:szCs w:val="26"/>
        </w:rPr>
        <w:t>ADIT has not been part of the Company’s calculation of Rider TCJA since its inception</w:t>
      </w:r>
      <w:r w:rsidR="003D473A" w:rsidRPr="00297730">
        <w:rPr>
          <w:rFonts w:ascii="Times" w:hAnsi="Times" w:cs="Times"/>
          <w:sz w:val="26"/>
          <w:szCs w:val="26"/>
        </w:rPr>
        <w:t xml:space="preserve">.  </w:t>
      </w:r>
      <w:r w:rsidR="00FC4D8F" w:rsidRPr="00FC4D8F">
        <w:rPr>
          <w:rFonts w:ascii="Times" w:hAnsi="Times" w:cs="Times"/>
          <w:sz w:val="26"/>
          <w:szCs w:val="26"/>
        </w:rPr>
        <w:t xml:space="preserve">The </w:t>
      </w:r>
      <w:r w:rsidR="00FC4D8F">
        <w:rPr>
          <w:rFonts w:ascii="Times" w:hAnsi="Times" w:cs="Times"/>
          <w:sz w:val="26"/>
          <w:szCs w:val="26"/>
        </w:rPr>
        <w:t>Peoples Compliance O</w:t>
      </w:r>
      <w:r w:rsidR="00FC4D8F" w:rsidRPr="00FC4D8F">
        <w:rPr>
          <w:rFonts w:ascii="Times" w:hAnsi="Times" w:cs="Times"/>
          <w:sz w:val="26"/>
          <w:szCs w:val="26"/>
        </w:rPr>
        <w:t xml:space="preserve">rder did not specify that the Company should flow back </w:t>
      </w:r>
      <w:r w:rsidR="00B26C96">
        <w:rPr>
          <w:rFonts w:ascii="Times" w:hAnsi="Times" w:cs="Times"/>
          <w:sz w:val="26"/>
          <w:szCs w:val="26"/>
        </w:rPr>
        <w:t>E</w:t>
      </w:r>
      <w:r w:rsidR="00FC4D8F" w:rsidRPr="00FC4D8F">
        <w:rPr>
          <w:rFonts w:ascii="Times" w:hAnsi="Times" w:cs="Times"/>
          <w:sz w:val="26"/>
          <w:szCs w:val="26"/>
        </w:rPr>
        <w:t>ADIT to customers resulting from TCJA</w:t>
      </w:r>
      <w:r w:rsidR="00B50B38" w:rsidRPr="00FC4D8F">
        <w:rPr>
          <w:rFonts w:ascii="Times" w:hAnsi="Times" w:cs="Times"/>
          <w:sz w:val="26"/>
          <w:szCs w:val="26"/>
        </w:rPr>
        <w:t xml:space="preserve">.  </w:t>
      </w:r>
      <w:r w:rsidR="00FC4D8F" w:rsidRPr="00FC4D8F">
        <w:rPr>
          <w:rFonts w:ascii="Times" w:hAnsi="Times" w:cs="Times"/>
          <w:sz w:val="26"/>
          <w:szCs w:val="26"/>
        </w:rPr>
        <w:t xml:space="preserve">As a result, Peoples Gas established a </w:t>
      </w:r>
      <w:r w:rsidR="00FC4D8F" w:rsidRPr="00FC4D8F">
        <w:rPr>
          <w:rFonts w:ascii="Times" w:hAnsi="Times" w:cs="Times"/>
          <w:sz w:val="26"/>
          <w:szCs w:val="26"/>
        </w:rPr>
        <w:lastRenderedPageBreak/>
        <w:t xml:space="preserve">deferred regulatory liability related to the stub </w:t>
      </w:r>
      <w:r w:rsidR="009C5CE3" w:rsidRPr="00FC4D8F">
        <w:rPr>
          <w:rFonts w:ascii="Times" w:hAnsi="Times" w:cs="Times"/>
          <w:sz w:val="26"/>
          <w:szCs w:val="26"/>
        </w:rPr>
        <w:t>period</w:t>
      </w:r>
      <w:r w:rsidRPr="00297730">
        <w:rPr>
          <w:rFonts w:ascii="Times" w:hAnsi="Times" w:cs="Times"/>
          <w:sz w:val="26"/>
          <w:szCs w:val="26"/>
        </w:rPr>
        <w:t>.</w:t>
      </w:r>
      <w:r w:rsidR="004F780E">
        <w:rPr>
          <w:rStyle w:val="FootnoteReference"/>
          <w:rFonts w:ascii="Times" w:hAnsi="Times" w:cs="Times"/>
          <w:sz w:val="26"/>
          <w:szCs w:val="26"/>
        </w:rPr>
        <w:footnoteReference w:id="2"/>
      </w:r>
      <w:r w:rsidR="004F780E">
        <w:rPr>
          <w:rFonts w:ascii="Times" w:hAnsi="Times" w:cs="Times"/>
          <w:sz w:val="26"/>
          <w:szCs w:val="26"/>
        </w:rPr>
        <w:t xml:space="preserve">  </w:t>
      </w:r>
      <w:r w:rsidR="00BB5D17" w:rsidRPr="00BB5D17">
        <w:rPr>
          <w:rFonts w:ascii="Times" w:hAnsi="Times" w:cs="Times"/>
          <w:sz w:val="26"/>
          <w:szCs w:val="26"/>
        </w:rPr>
        <w:t>It is the Company's position that because the TCJA mechanism approved by the Commission did not determine the treatment of excess deferred income tax balances, then the treatment of excess deferred income tax balances should be determined in the Company's next base rate case</w:t>
      </w:r>
      <w:r w:rsidR="004F780E">
        <w:rPr>
          <w:rFonts w:ascii="Times" w:hAnsi="Times" w:cs="Times"/>
          <w:sz w:val="26"/>
          <w:szCs w:val="26"/>
        </w:rPr>
        <w:t>.</w:t>
      </w:r>
      <w:r w:rsidR="004F780E">
        <w:rPr>
          <w:rStyle w:val="FootnoteReference"/>
          <w:rFonts w:ascii="Times" w:hAnsi="Times" w:cs="Times"/>
          <w:sz w:val="26"/>
          <w:szCs w:val="26"/>
        </w:rPr>
        <w:footnoteReference w:id="3"/>
      </w:r>
      <w:bookmarkStart w:id="3" w:name="_Hlk86235202"/>
      <w:r w:rsidR="004F780E">
        <w:rPr>
          <w:rFonts w:ascii="Times" w:hAnsi="Times" w:cs="Times"/>
          <w:sz w:val="26"/>
          <w:szCs w:val="26"/>
        </w:rPr>
        <w:t xml:space="preserve">  </w:t>
      </w:r>
    </w:p>
    <w:p w14:paraId="21AABAF8" w14:textId="77777777" w:rsidR="004F780E" w:rsidRDefault="004F780E" w:rsidP="004F780E">
      <w:pPr>
        <w:spacing w:line="360" w:lineRule="auto"/>
        <w:ind w:firstLine="720"/>
        <w:rPr>
          <w:rFonts w:ascii="Times" w:hAnsi="Times" w:cs="Times"/>
          <w:sz w:val="26"/>
          <w:szCs w:val="26"/>
        </w:rPr>
      </w:pPr>
    </w:p>
    <w:p w14:paraId="2DD36EE6" w14:textId="77777777" w:rsidR="004F780E" w:rsidRDefault="004F780E" w:rsidP="004F780E">
      <w:pPr>
        <w:spacing w:line="360" w:lineRule="auto"/>
        <w:ind w:firstLine="720"/>
        <w:rPr>
          <w:rFonts w:ascii="Times" w:hAnsi="Times" w:cs="Times"/>
          <w:sz w:val="26"/>
          <w:szCs w:val="26"/>
        </w:rPr>
      </w:pPr>
      <w:r>
        <w:rPr>
          <w:rFonts w:ascii="Times" w:hAnsi="Times" w:cs="Times"/>
          <w:sz w:val="26"/>
          <w:szCs w:val="26"/>
        </w:rPr>
        <w:t xml:space="preserve">However, the Temporary Rates Order at Docket No. M 2018-2641242 (Order entered May 17, 2018) states “that </w:t>
      </w:r>
      <w:r w:rsidRPr="00EF7414">
        <w:rPr>
          <w:rFonts w:ascii="Times" w:hAnsi="Times" w:cs="Times"/>
          <w:sz w:val="26"/>
          <w:szCs w:val="26"/>
        </w:rPr>
        <w:t>Commission is persuaded that the tax savings and associated reductions in utility revenue requirements should be flowed back to consumers on a current basis</w:t>
      </w:r>
      <w:r>
        <w:rPr>
          <w:rFonts w:ascii="Times" w:hAnsi="Times" w:cs="Times"/>
          <w:sz w:val="26"/>
          <w:szCs w:val="26"/>
        </w:rPr>
        <w:t>.” (Temporary Rates Order at 14).  T</w:t>
      </w:r>
      <w:r w:rsidRPr="007217C5">
        <w:rPr>
          <w:rFonts w:ascii="Times" w:hAnsi="Times" w:cs="Times"/>
          <w:sz w:val="26"/>
          <w:szCs w:val="26"/>
        </w:rPr>
        <w:t xml:space="preserve">he Commission </w:t>
      </w:r>
      <w:r>
        <w:rPr>
          <w:rFonts w:ascii="Times" w:hAnsi="Times" w:cs="Times"/>
          <w:sz w:val="26"/>
          <w:szCs w:val="26"/>
        </w:rPr>
        <w:t>also o</w:t>
      </w:r>
      <w:r w:rsidRPr="007217C5">
        <w:rPr>
          <w:rFonts w:ascii="Times" w:hAnsi="Times" w:cs="Times"/>
          <w:sz w:val="26"/>
          <w:szCs w:val="26"/>
        </w:rPr>
        <w:t>rdered that the TCJA temporary surcharge will be effective July 1, 2018, on a prospective basis.</w:t>
      </w:r>
      <w:r>
        <w:rPr>
          <w:rFonts w:ascii="Times" w:hAnsi="Times" w:cs="Times"/>
          <w:sz w:val="26"/>
          <w:szCs w:val="26"/>
        </w:rPr>
        <w:t xml:space="preserve">  Furthermore, the Commission finds no plain language indicating that EADIT should be flowed back to customers at a different time.</w:t>
      </w:r>
      <w:r>
        <w:rPr>
          <w:rStyle w:val="FootnoteReference"/>
          <w:rFonts w:ascii="Times" w:hAnsi="Times" w:cs="Times"/>
          <w:sz w:val="26"/>
          <w:szCs w:val="26"/>
        </w:rPr>
        <w:footnoteReference w:id="4"/>
      </w:r>
      <w:r>
        <w:rPr>
          <w:rFonts w:ascii="Times" w:hAnsi="Times" w:cs="Times"/>
          <w:sz w:val="26"/>
          <w:szCs w:val="26"/>
        </w:rPr>
        <w:t xml:space="preserve">  Thus, all tax savings occurring on or after July 1, 2018, should be flowing back to customers.  </w:t>
      </w:r>
    </w:p>
    <w:bookmarkEnd w:id="3"/>
    <w:p w14:paraId="235226E0" w14:textId="77777777" w:rsidR="004F780E" w:rsidRDefault="004F780E" w:rsidP="004F780E">
      <w:pPr>
        <w:spacing w:line="360" w:lineRule="auto"/>
        <w:rPr>
          <w:rFonts w:ascii="Times" w:hAnsi="Times" w:cs="Times"/>
          <w:sz w:val="26"/>
          <w:szCs w:val="26"/>
        </w:rPr>
      </w:pPr>
    </w:p>
    <w:p w14:paraId="21AA377E" w14:textId="7313DF93" w:rsidR="004F780E" w:rsidRDefault="004F780E" w:rsidP="004F780E">
      <w:pPr>
        <w:spacing w:line="360" w:lineRule="auto"/>
        <w:ind w:firstLine="720"/>
        <w:rPr>
          <w:rFonts w:ascii="Times" w:hAnsi="Times" w:cs="Times"/>
          <w:sz w:val="26"/>
          <w:szCs w:val="26"/>
        </w:rPr>
      </w:pPr>
      <w:r>
        <w:rPr>
          <w:rFonts w:ascii="Times" w:hAnsi="Times" w:cs="Times"/>
          <w:sz w:val="26"/>
          <w:szCs w:val="26"/>
        </w:rPr>
        <w:t xml:space="preserve">The Commission’s intent to flow back taxes to customers on a current basis is clear.  The Commission further required utilities to file a petition, if no rate case was filed during the prescribed time period, to distribute the regulatory liability accumulate during the January 1, 2018 to June 30, 2018 time period to avoid an unreasonable delay in dealing with such funds.  Thus, it is clear that the Commission intended for all tax savings to be flowed back to customers on a timely basis.  </w:t>
      </w:r>
      <w:r w:rsidR="00246151">
        <w:rPr>
          <w:rFonts w:ascii="Times" w:hAnsi="Times" w:cs="Times"/>
          <w:sz w:val="26"/>
          <w:szCs w:val="26"/>
        </w:rPr>
        <w:t>Although</w:t>
      </w:r>
      <w:r>
        <w:rPr>
          <w:rFonts w:ascii="Times" w:hAnsi="Times" w:cs="Times"/>
          <w:sz w:val="26"/>
          <w:szCs w:val="26"/>
        </w:rPr>
        <w:t xml:space="preserve"> </w:t>
      </w:r>
      <w:r w:rsidR="00781442">
        <w:rPr>
          <w:rFonts w:ascii="Times" w:hAnsi="Times" w:cs="Times"/>
          <w:sz w:val="26"/>
          <w:szCs w:val="26"/>
        </w:rPr>
        <w:t>Peoples</w:t>
      </w:r>
      <w:r w:rsidR="007403F7">
        <w:rPr>
          <w:rFonts w:ascii="Times" w:hAnsi="Times" w:cs="Times"/>
          <w:sz w:val="26"/>
          <w:szCs w:val="26"/>
        </w:rPr>
        <w:t xml:space="preserve"> Gas</w:t>
      </w:r>
      <w:r w:rsidR="00111FEF">
        <w:rPr>
          <w:rFonts w:ascii="Times" w:hAnsi="Times" w:cs="Times"/>
          <w:sz w:val="26"/>
          <w:szCs w:val="26"/>
        </w:rPr>
        <w:t xml:space="preserve"> states</w:t>
      </w:r>
      <w:r>
        <w:rPr>
          <w:rFonts w:ascii="Times" w:hAnsi="Times" w:cs="Times"/>
          <w:sz w:val="26"/>
          <w:szCs w:val="26"/>
        </w:rPr>
        <w:t xml:space="preserve"> </w:t>
      </w:r>
      <w:r w:rsidR="00F86B56">
        <w:rPr>
          <w:rFonts w:ascii="Times" w:hAnsi="Times" w:cs="Times"/>
          <w:sz w:val="26"/>
          <w:szCs w:val="26"/>
        </w:rPr>
        <w:t>that</w:t>
      </w:r>
      <w:r>
        <w:rPr>
          <w:rFonts w:ascii="Times" w:hAnsi="Times" w:cs="Times"/>
          <w:sz w:val="26"/>
          <w:szCs w:val="26"/>
        </w:rPr>
        <w:t xml:space="preserve"> the TCJA negative surcharge </w:t>
      </w:r>
      <w:r w:rsidR="00763C7B">
        <w:rPr>
          <w:rFonts w:ascii="Times" w:hAnsi="Times" w:cs="Times"/>
          <w:sz w:val="26"/>
          <w:szCs w:val="26"/>
        </w:rPr>
        <w:t xml:space="preserve">was accepted </w:t>
      </w:r>
      <w:r>
        <w:rPr>
          <w:rFonts w:ascii="Times" w:hAnsi="Times" w:cs="Times"/>
          <w:sz w:val="26"/>
          <w:szCs w:val="26"/>
        </w:rPr>
        <w:t>by the Commission, all tax savings are not being flowed back to customers as intended by the Commission.</w:t>
      </w:r>
    </w:p>
    <w:p w14:paraId="1A1FA7A1" w14:textId="77777777" w:rsidR="004F780E" w:rsidRDefault="004F780E" w:rsidP="004F780E">
      <w:pPr>
        <w:spacing w:line="360" w:lineRule="auto"/>
        <w:ind w:firstLine="720"/>
        <w:rPr>
          <w:rFonts w:ascii="Times" w:hAnsi="Times" w:cs="Times"/>
          <w:sz w:val="26"/>
          <w:szCs w:val="26"/>
        </w:rPr>
      </w:pPr>
    </w:p>
    <w:p w14:paraId="1C4C6631" w14:textId="421FED8D" w:rsidR="00C20FC8" w:rsidRDefault="00C20FC8" w:rsidP="004F780E">
      <w:pPr>
        <w:pStyle w:val="p3"/>
        <w:tabs>
          <w:tab w:val="clear" w:pos="204"/>
        </w:tabs>
        <w:spacing w:line="360" w:lineRule="auto"/>
        <w:ind w:firstLine="720"/>
        <w:rPr>
          <w:rFonts w:ascii="Times" w:hAnsi="Times" w:cs="Times"/>
          <w:sz w:val="26"/>
          <w:szCs w:val="26"/>
        </w:rPr>
      </w:pPr>
      <w:r>
        <w:rPr>
          <w:rFonts w:ascii="Times" w:hAnsi="Times" w:cs="Times"/>
          <w:sz w:val="26"/>
          <w:szCs w:val="26"/>
        </w:rPr>
        <w:t>We further note</w:t>
      </w:r>
      <w:r w:rsidR="00F9797D">
        <w:rPr>
          <w:rFonts w:ascii="Times" w:hAnsi="Times" w:cs="Times"/>
          <w:sz w:val="26"/>
          <w:szCs w:val="26"/>
        </w:rPr>
        <w:t xml:space="preserve"> that </w:t>
      </w:r>
      <w:r w:rsidR="00A61BBE">
        <w:rPr>
          <w:rFonts w:ascii="Times" w:hAnsi="Times" w:cs="Times"/>
          <w:sz w:val="26"/>
          <w:szCs w:val="26"/>
        </w:rPr>
        <w:t>interest calculation provided by the Company differs fro</w:t>
      </w:r>
      <w:r w:rsidR="00AC0477">
        <w:rPr>
          <w:rFonts w:ascii="Times" w:hAnsi="Times" w:cs="Times"/>
          <w:sz w:val="26"/>
          <w:szCs w:val="26"/>
        </w:rPr>
        <w:t>m the interest calculation utilized in the</w:t>
      </w:r>
      <w:r w:rsidR="00E078BE">
        <w:rPr>
          <w:rFonts w:ascii="Times" w:hAnsi="Times" w:cs="Times"/>
          <w:sz w:val="26"/>
          <w:szCs w:val="26"/>
        </w:rPr>
        <w:t xml:space="preserve"> </w:t>
      </w:r>
      <w:r w:rsidR="00E078BE" w:rsidRPr="00147828">
        <w:rPr>
          <w:rFonts w:ascii="Times" w:hAnsi="Times" w:cs="Times"/>
          <w:i/>
          <w:iCs/>
          <w:sz w:val="26"/>
          <w:szCs w:val="26"/>
        </w:rPr>
        <w:t>PPL Petition</w:t>
      </w:r>
      <w:r w:rsidR="00E078BE">
        <w:rPr>
          <w:rFonts w:ascii="Times" w:hAnsi="Times" w:cs="Times"/>
          <w:sz w:val="26"/>
          <w:szCs w:val="26"/>
        </w:rPr>
        <w:t xml:space="preserve"> and </w:t>
      </w:r>
      <w:r w:rsidR="00E078BE" w:rsidRPr="00147828">
        <w:rPr>
          <w:rFonts w:ascii="Times" w:hAnsi="Times" w:cs="Times"/>
          <w:i/>
          <w:iCs/>
          <w:sz w:val="26"/>
          <w:szCs w:val="26"/>
        </w:rPr>
        <w:t>NFGDC Petition</w:t>
      </w:r>
      <w:r w:rsidR="00E078BE">
        <w:rPr>
          <w:rFonts w:ascii="Times" w:hAnsi="Times" w:cs="Times"/>
          <w:sz w:val="26"/>
          <w:szCs w:val="26"/>
        </w:rPr>
        <w:t>.</w:t>
      </w:r>
      <w:r w:rsidR="00B020BE">
        <w:rPr>
          <w:rFonts w:ascii="Times" w:hAnsi="Times" w:cs="Times"/>
          <w:sz w:val="26"/>
          <w:szCs w:val="26"/>
        </w:rPr>
        <w:t xml:space="preserve">  While the interest </w:t>
      </w:r>
      <w:r w:rsidR="00B020BE">
        <w:rPr>
          <w:rFonts w:ascii="Times" w:hAnsi="Times" w:cs="Times"/>
          <w:sz w:val="26"/>
          <w:szCs w:val="26"/>
        </w:rPr>
        <w:lastRenderedPageBreak/>
        <w:t>calculation</w:t>
      </w:r>
      <w:r w:rsidR="00180CA8">
        <w:rPr>
          <w:rFonts w:ascii="Times" w:hAnsi="Times" w:cs="Times"/>
          <w:sz w:val="26"/>
          <w:szCs w:val="26"/>
        </w:rPr>
        <w:t xml:space="preserve"> is not inherently inaccurate, </w:t>
      </w:r>
      <w:r w:rsidR="00702200">
        <w:rPr>
          <w:rFonts w:ascii="Times" w:hAnsi="Times" w:cs="Times"/>
          <w:sz w:val="26"/>
          <w:szCs w:val="26"/>
        </w:rPr>
        <w:t xml:space="preserve">the Commission has determined that Peoples Gas shall </w:t>
      </w:r>
      <w:r w:rsidR="00764743">
        <w:rPr>
          <w:rFonts w:ascii="Times" w:hAnsi="Times" w:cs="Times"/>
          <w:sz w:val="26"/>
          <w:szCs w:val="26"/>
        </w:rPr>
        <w:t>utilize the same methodology as the previous petitions.</w:t>
      </w:r>
      <w:r w:rsidR="00B376D6">
        <w:rPr>
          <w:rStyle w:val="FootnoteReference"/>
          <w:rFonts w:ascii="Times" w:hAnsi="Times" w:cs="Times"/>
          <w:sz w:val="26"/>
          <w:szCs w:val="26"/>
        </w:rPr>
        <w:footnoteReference w:id="5"/>
      </w:r>
      <w:r w:rsidR="00764743">
        <w:rPr>
          <w:rFonts w:ascii="Times" w:hAnsi="Times" w:cs="Times"/>
          <w:sz w:val="26"/>
          <w:szCs w:val="26"/>
        </w:rPr>
        <w:t xml:space="preserve">  Peoples Gas has</w:t>
      </w:r>
      <w:r w:rsidR="00E137BD">
        <w:rPr>
          <w:rFonts w:ascii="Times" w:hAnsi="Times" w:cs="Times"/>
          <w:sz w:val="26"/>
          <w:szCs w:val="26"/>
        </w:rPr>
        <w:t xml:space="preserve"> provided an interest calculation consistent with the previous petitions</w:t>
      </w:r>
      <w:r w:rsidR="00387A8F">
        <w:rPr>
          <w:rFonts w:ascii="Times" w:hAnsi="Times" w:cs="Times"/>
          <w:sz w:val="26"/>
          <w:szCs w:val="26"/>
        </w:rPr>
        <w:t xml:space="preserve"> </w:t>
      </w:r>
      <w:r w:rsidR="009207F2">
        <w:rPr>
          <w:rFonts w:ascii="Times" w:hAnsi="Times" w:cs="Times"/>
          <w:sz w:val="26"/>
          <w:szCs w:val="26"/>
        </w:rPr>
        <w:t>in</w:t>
      </w:r>
      <w:r w:rsidR="00387A8F">
        <w:rPr>
          <w:rFonts w:ascii="Times" w:hAnsi="Times" w:cs="Times"/>
          <w:sz w:val="26"/>
          <w:szCs w:val="26"/>
        </w:rPr>
        <w:t xml:space="preserve"> a response to a Commission data request</w:t>
      </w:r>
      <w:r w:rsidR="00E137BD">
        <w:rPr>
          <w:rFonts w:ascii="Times" w:hAnsi="Times" w:cs="Times"/>
          <w:sz w:val="26"/>
          <w:szCs w:val="26"/>
        </w:rPr>
        <w:t>.</w:t>
      </w:r>
      <w:r w:rsidR="0074346F">
        <w:rPr>
          <w:rStyle w:val="FootnoteReference"/>
          <w:rFonts w:ascii="Times" w:hAnsi="Times" w:cs="Times"/>
          <w:sz w:val="26"/>
          <w:szCs w:val="26"/>
        </w:rPr>
        <w:footnoteReference w:id="6"/>
      </w:r>
      <w:r w:rsidR="00E137BD">
        <w:rPr>
          <w:rFonts w:ascii="Times" w:hAnsi="Times" w:cs="Times"/>
          <w:sz w:val="26"/>
          <w:szCs w:val="26"/>
        </w:rPr>
        <w:t xml:space="preserve">  Consequently,</w:t>
      </w:r>
      <w:r w:rsidR="001F300A">
        <w:rPr>
          <w:rFonts w:ascii="Times" w:hAnsi="Times" w:cs="Times"/>
          <w:sz w:val="26"/>
          <w:szCs w:val="26"/>
        </w:rPr>
        <w:t xml:space="preserve"> the Company will return $697,</w:t>
      </w:r>
      <w:r w:rsidR="00EC18BD">
        <w:rPr>
          <w:rFonts w:ascii="Times" w:hAnsi="Times" w:cs="Times"/>
          <w:sz w:val="26"/>
          <w:szCs w:val="26"/>
        </w:rPr>
        <w:t>836 in interest</w:t>
      </w:r>
      <w:r w:rsidR="002F31B1">
        <w:rPr>
          <w:rFonts w:ascii="Times" w:hAnsi="Times" w:cs="Times"/>
          <w:sz w:val="26"/>
          <w:szCs w:val="26"/>
        </w:rPr>
        <w:t xml:space="preserve"> in addition to the tax savings of $3,087,632 for a total </w:t>
      </w:r>
      <w:r w:rsidR="00BB3AFB">
        <w:rPr>
          <w:rFonts w:ascii="Times" w:hAnsi="Times" w:cs="Times"/>
          <w:sz w:val="26"/>
          <w:szCs w:val="26"/>
        </w:rPr>
        <w:t xml:space="preserve">of </w:t>
      </w:r>
      <w:r w:rsidR="00742129">
        <w:rPr>
          <w:rFonts w:ascii="Times" w:hAnsi="Times" w:cs="Times"/>
          <w:sz w:val="26"/>
          <w:szCs w:val="26"/>
        </w:rPr>
        <w:t>$3,785,468.</w:t>
      </w:r>
    </w:p>
    <w:p w14:paraId="26A72F4F" w14:textId="77777777" w:rsidR="00C20FC8" w:rsidRDefault="00C20FC8" w:rsidP="004F780E">
      <w:pPr>
        <w:pStyle w:val="p3"/>
        <w:tabs>
          <w:tab w:val="clear" w:pos="204"/>
        </w:tabs>
        <w:spacing w:line="360" w:lineRule="auto"/>
        <w:ind w:firstLine="720"/>
        <w:rPr>
          <w:rFonts w:ascii="Times" w:hAnsi="Times" w:cs="Times"/>
          <w:sz w:val="26"/>
          <w:szCs w:val="26"/>
        </w:rPr>
      </w:pPr>
    </w:p>
    <w:p w14:paraId="25D77D10" w14:textId="741D68E2" w:rsidR="00EE1DCC" w:rsidRPr="00595D86" w:rsidRDefault="004F780E" w:rsidP="004F780E">
      <w:pPr>
        <w:pStyle w:val="p3"/>
        <w:tabs>
          <w:tab w:val="clear" w:pos="204"/>
        </w:tabs>
        <w:spacing w:line="360" w:lineRule="auto"/>
        <w:ind w:firstLine="720"/>
        <w:rPr>
          <w:rFonts w:ascii="Times" w:hAnsi="Times" w:cs="Times"/>
          <w:sz w:val="26"/>
          <w:szCs w:val="26"/>
        </w:rPr>
      </w:pPr>
      <w:r w:rsidRPr="00595D86">
        <w:rPr>
          <w:rFonts w:ascii="Times" w:hAnsi="Times" w:cs="Times"/>
          <w:sz w:val="26"/>
          <w:szCs w:val="26"/>
        </w:rPr>
        <w:t>We find that</w:t>
      </w:r>
      <w:r>
        <w:rPr>
          <w:rFonts w:ascii="Times" w:hAnsi="Times" w:cs="Times"/>
          <w:sz w:val="26"/>
          <w:szCs w:val="26"/>
        </w:rPr>
        <w:t xml:space="preserve"> </w:t>
      </w:r>
      <w:r w:rsidR="00A568E7">
        <w:rPr>
          <w:rFonts w:ascii="Times" w:hAnsi="Times" w:cs="Times"/>
          <w:sz w:val="26"/>
          <w:szCs w:val="26"/>
        </w:rPr>
        <w:t>Peoples Gas’s</w:t>
      </w:r>
      <w:r>
        <w:rPr>
          <w:rFonts w:ascii="Times" w:hAnsi="Times" w:cs="Times"/>
          <w:sz w:val="26"/>
          <w:szCs w:val="26"/>
        </w:rPr>
        <w:t xml:space="preserve"> proposal to utilize the existing TCJA Surcharge Mechanism to distribute Stub Period tax savings is appropriate, however, </w:t>
      </w:r>
      <w:r w:rsidR="00D22CD9">
        <w:rPr>
          <w:rFonts w:ascii="Times" w:hAnsi="Times" w:cs="Times"/>
          <w:sz w:val="26"/>
          <w:szCs w:val="26"/>
        </w:rPr>
        <w:t>the interest calculation shal</w:t>
      </w:r>
      <w:r w:rsidR="00CE1FAF">
        <w:rPr>
          <w:rFonts w:ascii="Times" w:hAnsi="Times" w:cs="Times"/>
          <w:sz w:val="26"/>
          <w:szCs w:val="26"/>
        </w:rPr>
        <w:t xml:space="preserve">l be modified consistent with the </w:t>
      </w:r>
      <w:r w:rsidR="00CE1FAF" w:rsidRPr="00F64F20">
        <w:rPr>
          <w:rFonts w:ascii="Times" w:hAnsi="Times" w:cs="Times"/>
          <w:i/>
          <w:iCs/>
          <w:sz w:val="26"/>
          <w:szCs w:val="26"/>
        </w:rPr>
        <w:t>PPL Petition</w:t>
      </w:r>
      <w:r w:rsidR="000003D7">
        <w:rPr>
          <w:rFonts w:ascii="Times" w:hAnsi="Times" w:cs="Times"/>
          <w:sz w:val="26"/>
          <w:szCs w:val="26"/>
        </w:rPr>
        <w:t xml:space="preserve"> and </w:t>
      </w:r>
      <w:r w:rsidR="000003D7" w:rsidRPr="00F64F20">
        <w:rPr>
          <w:rFonts w:ascii="Times" w:hAnsi="Times" w:cs="Times"/>
          <w:i/>
          <w:iCs/>
          <w:sz w:val="26"/>
          <w:szCs w:val="26"/>
        </w:rPr>
        <w:t>NFGDC Petition</w:t>
      </w:r>
      <w:r w:rsidR="000003D7">
        <w:rPr>
          <w:rFonts w:ascii="Times" w:hAnsi="Times" w:cs="Times"/>
          <w:sz w:val="26"/>
          <w:szCs w:val="26"/>
        </w:rPr>
        <w:t>.  W</w:t>
      </w:r>
      <w:r>
        <w:rPr>
          <w:rFonts w:ascii="Times" w:hAnsi="Times" w:cs="Times"/>
          <w:sz w:val="26"/>
          <w:szCs w:val="26"/>
        </w:rPr>
        <w:t xml:space="preserve">e </w:t>
      </w:r>
      <w:r w:rsidR="000003D7">
        <w:rPr>
          <w:rFonts w:ascii="Times" w:hAnsi="Times" w:cs="Times"/>
          <w:sz w:val="26"/>
          <w:szCs w:val="26"/>
        </w:rPr>
        <w:t>further n</w:t>
      </w:r>
      <w:r>
        <w:rPr>
          <w:rFonts w:ascii="Times" w:hAnsi="Times" w:cs="Times"/>
          <w:sz w:val="26"/>
          <w:szCs w:val="26"/>
        </w:rPr>
        <w:t xml:space="preserve">ote that EADIT has not been flowed back to customers consistent with the </w:t>
      </w:r>
      <w:r w:rsidRPr="00A15EBF">
        <w:rPr>
          <w:rFonts w:ascii="Times" w:hAnsi="Times" w:cs="Times"/>
          <w:i/>
          <w:iCs/>
          <w:sz w:val="26"/>
          <w:szCs w:val="26"/>
        </w:rPr>
        <w:t>PPL Petition</w:t>
      </w:r>
      <w:r>
        <w:rPr>
          <w:rFonts w:ascii="Times" w:hAnsi="Times" w:cs="Times"/>
          <w:sz w:val="26"/>
          <w:szCs w:val="26"/>
        </w:rPr>
        <w:t xml:space="preserve"> and </w:t>
      </w:r>
      <w:r w:rsidRPr="001C3032">
        <w:rPr>
          <w:rFonts w:ascii="Times" w:hAnsi="Times" w:cs="Times"/>
          <w:i/>
          <w:iCs/>
          <w:sz w:val="26"/>
          <w:szCs w:val="26"/>
        </w:rPr>
        <w:t>NFGDC Petition</w:t>
      </w:r>
      <w:r>
        <w:rPr>
          <w:rFonts w:ascii="Times" w:hAnsi="Times" w:cs="Times"/>
          <w:sz w:val="26"/>
          <w:szCs w:val="26"/>
        </w:rPr>
        <w:t xml:space="preserve">.  The distribution of the Stub Period regulatory asset was required per the </w:t>
      </w:r>
      <w:r w:rsidR="00D75A62">
        <w:rPr>
          <w:rFonts w:ascii="Times" w:hAnsi="Times" w:cs="Times"/>
          <w:sz w:val="26"/>
          <w:szCs w:val="26"/>
        </w:rPr>
        <w:t>Peoples Gas</w:t>
      </w:r>
      <w:r>
        <w:rPr>
          <w:rFonts w:ascii="Times" w:hAnsi="Times" w:cs="Times"/>
          <w:sz w:val="26"/>
          <w:szCs w:val="26"/>
        </w:rPr>
        <w:t xml:space="preserve"> Compliance </w:t>
      </w:r>
      <w:r w:rsidR="00F90ED3">
        <w:rPr>
          <w:rFonts w:ascii="Times" w:hAnsi="Times" w:cs="Times"/>
          <w:sz w:val="26"/>
          <w:szCs w:val="26"/>
        </w:rPr>
        <w:t>Order,</w:t>
      </w:r>
      <w:r>
        <w:rPr>
          <w:rFonts w:ascii="Times" w:hAnsi="Times" w:cs="Times"/>
          <w:sz w:val="26"/>
          <w:szCs w:val="26"/>
        </w:rPr>
        <w:t xml:space="preserve"> and we will approve this Petition</w:t>
      </w:r>
      <w:r w:rsidR="00B07B95">
        <w:rPr>
          <w:rFonts w:ascii="Times" w:hAnsi="Times" w:cs="Times"/>
          <w:sz w:val="26"/>
          <w:szCs w:val="26"/>
        </w:rPr>
        <w:t xml:space="preserve"> with only the modification of the interest calculation</w:t>
      </w:r>
      <w:r>
        <w:rPr>
          <w:rFonts w:ascii="Times" w:hAnsi="Times" w:cs="Times"/>
          <w:sz w:val="26"/>
          <w:szCs w:val="26"/>
        </w:rPr>
        <w:t xml:space="preserve"> to prevent further delay of the tax savings.  We shall require </w:t>
      </w:r>
      <w:bookmarkStart w:id="4" w:name="_Hlk86149070"/>
      <w:r w:rsidR="00B07B95">
        <w:rPr>
          <w:rFonts w:ascii="Times" w:hAnsi="Times" w:cs="Times"/>
          <w:sz w:val="26"/>
          <w:szCs w:val="26"/>
        </w:rPr>
        <w:t>Peoples Gas</w:t>
      </w:r>
      <w:r>
        <w:rPr>
          <w:rFonts w:ascii="Times" w:hAnsi="Times" w:cs="Times"/>
          <w:sz w:val="26"/>
          <w:szCs w:val="26"/>
        </w:rPr>
        <w:t xml:space="preserve"> to file a petition </w:t>
      </w:r>
      <w:r>
        <w:rPr>
          <w:rFonts w:ascii="Times" w:hAnsi="Times" w:cs="Times"/>
          <w:bCs/>
          <w:sz w:val="26"/>
          <w:szCs w:val="26"/>
        </w:rPr>
        <w:t>within 60 days of the adoption date of this order</w:t>
      </w:r>
      <w:r>
        <w:rPr>
          <w:rFonts w:ascii="Times" w:hAnsi="Times" w:cs="Times"/>
          <w:sz w:val="26"/>
          <w:szCs w:val="26"/>
        </w:rPr>
        <w:t xml:space="preserve"> to distribute </w:t>
      </w:r>
      <w:r w:rsidR="007A4502">
        <w:rPr>
          <w:rFonts w:ascii="Times" w:hAnsi="Times" w:cs="Times"/>
          <w:sz w:val="26"/>
          <w:szCs w:val="26"/>
        </w:rPr>
        <w:t xml:space="preserve">tax savings associated with </w:t>
      </w:r>
      <w:r>
        <w:rPr>
          <w:rFonts w:ascii="Times" w:hAnsi="Times" w:cs="Times"/>
          <w:sz w:val="26"/>
          <w:szCs w:val="26"/>
        </w:rPr>
        <w:t>EADIT.  The EADIT</w:t>
      </w:r>
      <w:r w:rsidR="005233DA">
        <w:rPr>
          <w:rFonts w:ascii="Times" w:hAnsi="Times" w:cs="Times"/>
          <w:sz w:val="26"/>
          <w:szCs w:val="26"/>
        </w:rPr>
        <w:t xml:space="preserve"> tax savings</w:t>
      </w:r>
      <w:r>
        <w:rPr>
          <w:rFonts w:ascii="Times" w:hAnsi="Times" w:cs="Times"/>
          <w:sz w:val="26"/>
          <w:szCs w:val="26"/>
        </w:rPr>
        <w:t xml:space="preserve"> shall </w:t>
      </w:r>
      <w:r w:rsidRPr="00877116">
        <w:rPr>
          <w:rFonts w:ascii="Times" w:hAnsi="Times" w:cs="Times"/>
          <w:sz w:val="26"/>
          <w:szCs w:val="26"/>
        </w:rPr>
        <w:t>also accrue interest at the residential mortgage lending rate specified by the Secretary of Banking in accordance with the Loan Interest and Protection Law</w:t>
      </w:r>
      <w:r>
        <w:rPr>
          <w:rFonts w:ascii="Times" w:hAnsi="Times" w:cs="Times"/>
          <w:sz w:val="26"/>
          <w:szCs w:val="26"/>
        </w:rPr>
        <w:t xml:space="preserve">.  </w:t>
      </w:r>
      <w:bookmarkEnd w:id="4"/>
      <w:r>
        <w:rPr>
          <w:rFonts w:ascii="Times" w:hAnsi="Times" w:cs="Times"/>
          <w:sz w:val="26"/>
          <w:szCs w:val="26"/>
        </w:rPr>
        <w:t xml:space="preserve">Accordingly, </w:t>
      </w:r>
      <w:r w:rsidR="00DF4B55">
        <w:rPr>
          <w:rFonts w:ascii="Times" w:hAnsi="Times" w:cs="Times"/>
          <w:sz w:val="26"/>
          <w:szCs w:val="26"/>
        </w:rPr>
        <w:t xml:space="preserve">we modify </w:t>
      </w:r>
      <w:r w:rsidR="00D75A62">
        <w:rPr>
          <w:rFonts w:ascii="Times" w:hAnsi="Times" w:cs="Times"/>
          <w:sz w:val="26"/>
          <w:szCs w:val="26"/>
        </w:rPr>
        <w:t>Peoples Gas</w:t>
      </w:r>
      <w:r>
        <w:rPr>
          <w:rFonts w:ascii="Times" w:hAnsi="Times" w:cs="Times"/>
          <w:sz w:val="26"/>
          <w:szCs w:val="26"/>
        </w:rPr>
        <w:t xml:space="preserve">’s </w:t>
      </w:r>
      <w:r w:rsidRPr="00B63FFE">
        <w:rPr>
          <w:rFonts w:ascii="Times" w:hAnsi="Times" w:cs="Times"/>
          <w:bCs/>
          <w:sz w:val="26"/>
          <w:szCs w:val="26"/>
        </w:rPr>
        <w:t>Petition</w:t>
      </w:r>
      <w:r>
        <w:rPr>
          <w:rFonts w:ascii="Times" w:hAnsi="Times" w:cs="Times"/>
          <w:bCs/>
          <w:sz w:val="26"/>
          <w:szCs w:val="26"/>
        </w:rPr>
        <w:t xml:space="preserve"> </w:t>
      </w:r>
      <w:r w:rsidRPr="00B63FFE">
        <w:rPr>
          <w:rFonts w:ascii="Times" w:hAnsi="Times" w:cs="Times"/>
          <w:bCs/>
          <w:sz w:val="26"/>
          <w:szCs w:val="26"/>
        </w:rPr>
        <w:t>for authority to distribute the tax savings</w:t>
      </w:r>
      <w:r>
        <w:rPr>
          <w:rFonts w:ascii="Times" w:hAnsi="Times" w:cs="Times"/>
          <w:bCs/>
          <w:sz w:val="26"/>
          <w:szCs w:val="26"/>
        </w:rPr>
        <w:t xml:space="preserve"> of </w:t>
      </w:r>
      <w:r w:rsidRPr="00E274BF">
        <w:rPr>
          <w:rFonts w:ascii="Times" w:hAnsi="Times" w:cs="Times"/>
          <w:sz w:val="26"/>
          <w:szCs w:val="26"/>
        </w:rPr>
        <w:t>$</w:t>
      </w:r>
      <w:r w:rsidR="00D87062">
        <w:rPr>
          <w:rFonts w:ascii="Times" w:hAnsi="Times" w:cs="Times"/>
          <w:sz w:val="26"/>
          <w:szCs w:val="26"/>
        </w:rPr>
        <w:t>3,785</w:t>
      </w:r>
      <w:r w:rsidR="00032F35">
        <w:rPr>
          <w:rFonts w:ascii="Times" w:hAnsi="Times" w:cs="Times"/>
          <w:sz w:val="26"/>
          <w:szCs w:val="26"/>
        </w:rPr>
        <w:t>,</w:t>
      </w:r>
      <w:r w:rsidR="00A668F9">
        <w:rPr>
          <w:rFonts w:ascii="Times" w:hAnsi="Times" w:cs="Times"/>
          <w:sz w:val="26"/>
          <w:szCs w:val="26"/>
        </w:rPr>
        <w:t>468</w:t>
      </w:r>
      <w:r>
        <w:rPr>
          <w:rFonts w:ascii="Times" w:hAnsi="Times" w:cs="Times"/>
          <w:sz w:val="26"/>
          <w:szCs w:val="26"/>
        </w:rPr>
        <w:t>, all</w:t>
      </w:r>
      <w:r w:rsidRPr="00B63FFE">
        <w:rPr>
          <w:rFonts w:ascii="Times" w:hAnsi="Times" w:cs="Times"/>
          <w:bCs/>
          <w:sz w:val="26"/>
          <w:szCs w:val="26"/>
        </w:rPr>
        <w:t xml:space="preserve"> associated with the Tax Cuts and Jobs Act of 2017</w:t>
      </w:r>
      <w:r>
        <w:rPr>
          <w:rFonts w:ascii="Times" w:hAnsi="Times" w:cs="Times"/>
          <w:bCs/>
          <w:sz w:val="26"/>
          <w:szCs w:val="26"/>
        </w:rPr>
        <w:t xml:space="preserve"> </w:t>
      </w:r>
      <w:r w:rsidRPr="00B63FFE">
        <w:rPr>
          <w:rFonts w:ascii="Times" w:hAnsi="Times" w:cs="Times"/>
          <w:bCs/>
          <w:sz w:val="26"/>
          <w:szCs w:val="26"/>
        </w:rPr>
        <w:t xml:space="preserve">for the period of </w:t>
      </w:r>
      <w:r>
        <w:rPr>
          <w:rFonts w:ascii="Times" w:hAnsi="Times" w:cs="Times"/>
          <w:bCs/>
          <w:sz w:val="26"/>
          <w:szCs w:val="26"/>
        </w:rPr>
        <w:t>January</w:t>
      </w:r>
      <w:r w:rsidRPr="00B63FFE">
        <w:rPr>
          <w:rFonts w:ascii="Times" w:hAnsi="Times" w:cs="Times"/>
          <w:bCs/>
          <w:sz w:val="26"/>
          <w:szCs w:val="26"/>
        </w:rPr>
        <w:t xml:space="preserve"> 1, 201</w:t>
      </w:r>
      <w:r>
        <w:rPr>
          <w:rFonts w:ascii="Times" w:hAnsi="Times" w:cs="Times"/>
          <w:bCs/>
          <w:sz w:val="26"/>
          <w:szCs w:val="26"/>
        </w:rPr>
        <w:t>8</w:t>
      </w:r>
      <w:r w:rsidRPr="00B63FFE">
        <w:rPr>
          <w:rFonts w:ascii="Times" w:hAnsi="Times" w:cs="Times"/>
          <w:bCs/>
          <w:sz w:val="26"/>
          <w:szCs w:val="26"/>
        </w:rPr>
        <w:t xml:space="preserve"> through June</w:t>
      </w:r>
      <w:r>
        <w:rPr>
          <w:rFonts w:ascii="Times" w:hAnsi="Times" w:cs="Times"/>
          <w:bCs/>
          <w:sz w:val="26"/>
          <w:szCs w:val="26"/>
        </w:rPr>
        <w:t> </w:t>
      </w:r>
      <w:r w:rsidRPr="00B63FFE">
        <w:rPr>
          <w:rFonts w:ascii="Times" w:hAnsi="Times" w:cs="Times"/>
          <w:bCs/>
          <w:sz w:val="26"/>
          <w:szCs w:val="26"/>
        </w:rPr>
        <w:t>30, 2018</w:t>
      </w:r>
      <w:r>
        <w:rPr>
          <w:rFonts w:ascii="Times" w:hAnsi="Times" w:cs="Times"/>
          <w:bCs/>
          <w:sz w:val="26"/>
          <w:szCs w:val="26"/>
        </w:rPr>
        <w:t xml:space="preserve">, </w:t>
      </w:r>
      <w:r w:rsidRPr="00B63FFE">
        <w:rPr>
          <w:rFonts w:ascii="Times" w:hAnsi="Times" w:cs="Times"/>
          <w:bCs/>
          <w:sz w:val="26"/>
          <w:szCs w:val="26"/>
        </w:rPr>
        <w:t>is hereby approved</w:t>
      </w:r>
      <w:r>
        <w:rPr>
          <w:rFonts w:ascii="Times" w:hAnsi="Times" w:cs="Times"/>
          <w:bCs/>
          <w:sz w:val="26"/>
          <w:szCs w:val="26"/>
        </w:rPr>
        <w:t xml:space="preserve">; </w:t>
      </w:r>
      <w:r w:rsidR="00EE1DCC" w:rsidRPr="00595D86">
        <w:rPr>
          <w:rFonts w:ascii="Times" w:hAnsi="Times" w:cs="Times"/>
          <w:b/>
          <w:sz w:val="26"/>
          <w:szCs w:val="26"/>
        </w:rPr>
        <w:t>THEREFORE,</w:t>
      </w:r>
    </w:p>
    <w:p w14:paraId="56E58BBA" w14:textId="176A5B53" w:rsidR="00EE1DCC" w:rsidRPr="00595D86" w:rsidRDefault="00EE1DCC" w:rsidP="00085C40">
      <w:pPr>
        <w:spacing w:line="360" w:lineRule="auto"/>
        <w:ind w:firstLine="720"/>
        <w:rPr>
          <w:rFonts w:ascii="Times" w:hAnsi="Times" w:cs="Times"/>
          <w:b/>
          <w:bCs/>
          <w:sz w:val="26"/>
          <w:szCs w:val="26"/>
        </w:rPr>
      </w:pPr>
      <w:r w:rsidRPr="00595D86">
        <w:rPr>
          <w:rFonts w:ascii="Times" w:hAnsi="Times" w:cs="Times"/>
          <w:b/>
          <w:bCs/>
          <w:sz w:val="26"/>
          <w:szCs w:val="26"/>
        </w:rPr>
        <w:t>IT IS ORDERED:</w:t>
      </w:r>
    </w:p>
    <w:p w14:paraId="3F2E5243" w14:textId="77777777" w:rsidR="00D249BC" w:rsidRPr="00595D86" w:rsidRDefault="00D249BC" w:rsidP="00EE1DCC">
      <w:pPr>
        <w:spacing w:line="360" w:lineRule="auto"/>
        <w:rPr>
          <w:rFonts w:ascii="Times" w:hAnsi="Times" w:cs="Times"/>
          <w:b/>
          <w:bCs/>
          <w:sz w:val="26"/>
          <w:szCs w:val="26"/>
        </w:rPr>
      </w:pPr>
    </w:p>
    <w:p w14:paraId="3615EA08" w14:textId="50F1E2B6" w:rsidR="00B63FFE" w:rsidRDefault="00D249BC" w:rsidP="00B63FFE">
      <w:pPr>
        <w:pStyle w:val="ListParagraph"/>
        <w:numPr>
          <w:ilvl w:val="0"/>
          <w:numId w:val="5"/>
        </w:numPr>
        <w:spacing w:line="360" w:lineRule="auto"/>
        <w:ind w:left="0" w:firstLine="720"/>
        <w:rPr>
          <w:rFonts w:ascii="Times" w:hAnsi="Times" w:cs="Times"/>
          <w:bCs/>
          <w:sz w:val="26"/>
          <w:szCs w:val="26"/>
        </w:rPr>
      </w:pPr>
      <w:r w:rsidRPr="00B63FFE">
        <w:rPr>
          <w:rFonts w:ascii="Times" w:hAnsi="Times" w:cs="Times"/>
          <w:bCs/>
          <w:sz w:val="26"/>
          <w:szCs w:val="26"/>
        </w:rPr>
        <w:t xml:space="preserve">That </w:t>
      </w:r>
      <w:r w:rsidR="000B58DD">
        <w:rPr>
          <w:rFonts w:ascii="Times" w:hAnsi="Times" w:cs="Times"/>
          <w:bCs/>
          <w:sz w:val="26"/>
          <w:szCs w:val="26"/>
        </w:rPr>
        <w:t>Peoples Gas</w:t>
      </w:r>
      <w:r w:rsidRPr="00B63FFE">
        <w:rPr>
          <w:rFonts w:ascii="Times" w:hAnsi="Times" w:cs="Times"/>
          <w:bCs/>
          <w:sz w:val="26"/>
          <w:szCs w:val="26"/>
        </w:rPr>
        <w:t xml:space="preserve">’ </w:t>
      </w:r>
      <w:bookmarkStart w:id="5" w:name="_Hlk23151358"/>
      <w:r w:rsidRPr="00B63FFE">
        <w:rPr>
          <w:rFonts w:ascii="Times" w:hAnsi="Times" w:cs="Times"/>
          <w:bCs/>
          <w:sz w:val="26"/>
          <w:szCs w:val="26"/>
        </w:rPr>
        <w:t xml:space="preserve">Petition </w:t>
      </w:r>
      <w:r w:rsidR="00B63FFE" w:rsidRPr="00B63FFE">
        <w:rPr>
          <w:rFonts w:ascii="Times" w:hAnsi="Times" w:cs="Times"/>
          <w:bCs/>
          <w:sz w:val="26"/>
          <w:szCs w:val="26"/>
        </w:rPr>
        <w:t>for authority to distribute the tax savings</w:t>
      </w:r>
      <w:r w:rsidR="00A668F9">
        <w:rPr>
          <w:rFonts w:ascii="Times" w:hAnsi="Times" w:cs="Times"/>
          <w:bCs/>
          <w:sz w:val="26"/>
          <w:szCs w:val="26"/>
        </w:rPr>
        <w:t xml:space="preserve"> of </w:t>
      </w:r>
      <w:r w:rsidR="00032F35">
        <w:rPr>
          <w:rFonts w:ascii="Times" w:hAnsi="Times" w:cs="Times"/>
          <w:bCs/>
          <w:sz w:val="26"/>
          <w:szCs w:val="26"/>
        </w:rPr>
        <w:t>$3,785,468</w:t>
      </w:r>
      <w:r w:rsidR="00B63FFE" w:rsidRPr="00B63FFE">
        <w:rPr>
          <w:rFonts w:ascii="Times" w:hAnsi="Times" w:cs="Times"/>
          <w:bCs/>
          <w:sz w:val="26"/>
          <w:szCs w:val="26"/>
        </w:rPr>
        <w:t xml:space="preserve"> associated with the Tax Cuts and Jobs Act of 2017 for the period of </w:t>
      </w:r>
      <w:r w:rsidR="00C37C44">
        <w:rPr>
          <w:rFonts w:ascii="Times" w:hAnsi="Times" w:cs="Times"/>
          <w:bCs/>
          <w:sz w:val="26"/>
          <w:szCs w:val="26"/>
        </w:rPr>
        <w:t>January</w:t>
      </w:r>
      <w:r w:rsidR="00B63FFE" w:rsidRPr="00B63FFE">
        <w:rPr>
          <w:rFonts w:ascii="Times" w:hAnsi="Times" w:cs="Times"/>
          <w:bCs/>
          <w:sz w:val="26"/>
          <w:szCs w:val="26"/>
        </w:rPr>
        <w:t xml:space="preserve"> 1, 201</w:t>
      </w:r>
      <w:r w:rsidR="00C37C44">
        <w:rPr>
          <w:rFonts w:ascii="Times" w:hAnsi="Times" w:cs="Times"/>
          <w:bCs/>
          <w:sz w:val="26"/>
          <w:szCs w:val="26"/>
        </w:rPr>
        <w:t>8</w:t>
      </w:r>
      <w:r w:rsidR="00B63FFE" w:rsidRPr="00B63FFE">
        <w:rPr>
          <w:rFonts w:ascii="Times" w:hAnsi="Times" w:cs="Times"/>
          <w:bCs/>
          <w:sz w:val="26"/>
          <w:szCs w:val="26"/>
        </w:rPr>
        <w:t xml:space="preserve"> through June 30, 2018</w:t>
      </w:r>
      <w:r w:rsidR="00DD4356">
        <w:rPr>
          <w:rFonts w:ascii="Times" w:hAnsi="Times" w:cs="Times"/>
          <w:bCs/>
          <w:sz w:val="26"/>
          <w:szCs w:val="26"/>
        </w:rPr>
        <w:t xml:space="preserve"> utilizing the TCJA Temporary Surcharge mechanism beginning on </w:t>
      </w:r>
      <w:r w:rsidR="00C37C44">
        <w:rPr>
          <w:rFonts w:ascii="Times" w:hAnsi="Times" w:cs="Times"/>
          <w:bCs/>
          <w:sz w:val="26"/>
          <w:szCs w:val="26"/>
        </w:rPr>
        <w:t>January</w:t>
      </w:r>
      <w:r w:rsidR="00DD4356">
        <w:rPr>
          <w:rFonts w:ascii="Times" w:hAnsi="Times" w:cs="Times"/>
          <w:bCs/>
          <w:sz w:val="26"/>
          <w:szCs w:val="26"/>
        </w:rPr>
        <w:t xml:space="preserve"> 1, </w:t>
      </w:r>
      <w:r w:rsidR="00595BF8">
        <w:rPr>
          <w:rFonts w:ascii="Times" w:hAnsi="Times" w:cs="Times"/>
          <w:bCs/>
          <w:sz w:val="26"/>
          <w:szCs w:val="26"/>
        </w:rPr>
        <w:t>2022,</w:t>
      </w:r>
      <w:r w:rsidR="00B63FFE" w:rsidRPr="00B63FFE">
        <w:rPr>
          <w:rFonts w:ascii="Times" w:hAnsi="Times" w:cs="Times"/>
          <w:bCs/>
          <w:sz w:val="26"/>
          <w:szCs w:val="26"/>
        </w:rPr>
        <w:t xml:space="preserve"> </w:t>
      </w:r>
      <w:r w:rsidR="00B63FFE">
        <w:rPr>
          <w:rFonts w:ascii="Times" w:hAnsi="Times" w:cs="Times"/>
          <w:bCs/>
          <w:sz w:val="26"/>
          <w:szCs w:val="26"/>
        </w:rPr>
        <w:t>is hereby approved</w:t>
      </w:r>
      <w:bookmarkEnd w:id="5"/>
      <w:r w:rsidR="00B63FFE">
        <w:rPr>
          <w:rFonts w:ascii="Times" w:hAnsi="Times" w:cs="Times"/>
          <w:bCs/>
          <w:sz w:val="26"/>
          <w:szCs w:val="26"/>
        </w:rPr>
        <w:t>.</w:t>
      </w:r>
    </w:p>
    <w:p w14:paraId="3B295531" w14:textId="77777777" w:rsidR="00BE1397" w:rsidRDefault="00BE1397" w:rsidP="00BE1397">
      <w:pPr>
        <w:pStyle w:val="ListParagraph"/>
        <w:spacing w:line="360" w:lineRule="auto"/>
        <w:rPr>
          <w:rFonts w:ascii="Times" w:hAnsi="Times" w:cs="Times"/>
          <w:bCs/>
          <w:sz w:val="26"/>
          <w:szCs w:val="26"/>
        </w:rPr>
      </w:pPr>
    </w:p>
    <w:p w14:paraId="604E502A" w14:textId="24CD767E" w:rsidR="00BE1397" w:rsidRPr="00B07AD5" w:rsidRDefault="00B07AD5" w:rsidP="00B07AD5">
      <w:pPr>
        <w:pStyle w:val="ListParagraph"/>
        <w:numPr>
          <w:ilvl w:val="0"/>
          <w:numId w:val="5"/>
        </w:numPr>
        <w:spacing w:line="360" w:lineRule="auto"/>
        <w:ind w:left="0" w:firstLine="720"/>
        <w:rPr>
          <w:rFonts w:ascii="Times" w:hAnsi="Times" w:cs="Times"/>
          <w:bCs/>
          <w:sz w:val="26"/>
          <w:szCs w:val="26"/>
        </w:rPr>
      </w:pPr>
      <w:r>
        <w:rPr>
          <w:rFonts w:ascii="Times" w:hAnsi="Times" w:cs="Times"/>
          <w:bCs/>
          <w:sz w:val="26"/>
          <w:szCs w:val="26"/>
        </w:rPr>
        <w:t xml:space="preserve">That </w:t>
      </w:r>
      <w:r w:rsidR="00C25DA0">
        <w:rPr>
          <w:rFonts w:ascii="Times" w:hAnsi="Times" w:cs="Times"/>
          <w:bCs/>
          <w:sz w:val="26"/>
          <w:szCs w:val="26"/>
        </w:rPr>
        <w:t>Peoples Gas</w:t>
      </w:r>
      <w:r w:rsidRPr="00025AD3">
        <w:rPr>
          <w:rFonts w:ascii="Times" w:hAnsi="Times" w:cs="Times"/>
          <w:bCs/>
          <w:sz w:val="26"/>
          <w:szCs w:val="26"/>
        </w:rPr>
        <w:t xml:space="preserve"> </w:t>
      </w:r>
      <w:r>
        <w:rPr>
          <w:rFonts w:ascii="Times" w:hAnsi="Times" w:cs="Times"/>
          <w:bCs/>
          <w:sz w:val="26"/>
          <w:szCs w:val="26"/>
        </w:rPr>
        <w:t>shall</w:t>
      </w:r>
      <w:r w:rsidRPr="00025AD3">
        <w:rPr>
          <w:rFonts w:ascii="Times" w:hAnsi="Times" w:cs="Times"/>
          <w:bCs/>
          <w:sz w:val="26"/>
          <w:szCs w:val="26"/>
        </w:rPr>
        <w:t xml:space="preserve"> file a petition</w:t>
      </w:r>
      <w:r>
        <w:rPr>
          <w:rFonts w:ascii="Times" w:hAnsi="Times" w:cs="Times"/>
          <w:bCs/>
          <w:sz w:val="26"/>
          <w:szCs w:val="26"/>
        </w:rPr>
        <w:t xml:space="preserve"> </w:t>
      </w:r>
      <w:bookmarkStart w:id="6" w:name="_Hlk86411429"/>
      <w:r>
        <w:rPr>
          <w:rFonts w:ascii="Times" w:hAnsi="Times" w:cs="Times"/>
          <w:bCs/>
          <w:sz w:val="26"/>
          <w:szCs w:val="26"/>
        </w:rPr>
        <w:t>within 60 days of the adoption date of this order</w:t>
      </w:r>
      <w:bookmarkEnd w:id="6"/>
      <w:r w:rsidRPr="00025AD3">
        <w:rPr>
          <w:rFonts w:ascii="Times" w:hAnsi="Times" w:cs="Times"/>
          <w:bCs/>
          <w:sz w:val="26"/>
          <w:szCs w:val="26"/>
        </w:rPr>
        <w:t xml:space="preserve"> to distribute </w:t>
      </w:r>
      <w:r w:rsidR="00FE288B">
        <w:rPr>
          <w:rFonts w:ascii="Times" w:hAnsi="Times" w:cs="Times"/>
          <w:bCs/>
          <w:sz w:val="26"/>
          <w:szCs w:val="26"/>
        </w:rPr>
        <w:t>tax savings associated with EADIT</w:t>
      </w:r>
      <w:r w:rsidRPr="00025AD3">
        <w:rPr>
          <w:rFonts w:ascii="Times" w:hAnsi="Times" w:cs="Times"/>
          <w:bCs/>
          <w:sz w:val="26"/>
          <w:szCs w:val="26"/>
        </w:rPr>
        <w:t xml:space="preserve">.  The EADIT shall </w:t>
      </w:r>
      <w:r w:rsidRPr="00877116">
        <w:rPr>
          <w:rFonts w:ascii="Times" w:hAnsi="Times" w:cs="Times"/>
          <w:sz w:val="26"/>
          <w:szCs w:val="26"/>
        </w:rPr>
        <w:t>also accrue interest at the residential mortgage lending rate specified by the Secretary of Banking in accordance with the Loan Interest and Protection Law</w:t>
      </w:r>
      <w:r>
        <w:rPr>
          <w:rFonts w:ascii="Times" w:hAnsi="Times" w:cs="Times"/>
          <w:bCs/>
          <w:sz w:val="26"/>
          <w:szCs w:val="26"/>
        </w:rPr>
        <w:t>.</w:t>
      </w:r>
    </w:p>
    <w:p w14:paraId="6093441D" w14:textId="77777777" w:rsidR="00063D4F" w:rsidRPr="005A69DA" w:rsidRDefault="00063D4F" w:rsidP="00063D4F">
      <w:pPr>
        <w:pStyle w:val="ListParagraph"/>
        <w:spacing w:line="360" w:lineRule="auto"/>
        <w:rPr>
          <w:rFonts w:ascii="Times" w:hAnsi="Times" w:cs="Times"/>
          <w:bCs/>
          <w:sz w:val="26"/>
          <w:szCs w:val="26"/>
        </w:rPr>
      </w:pPr>
    </w:p>
    <w:p w14:paraId="6225D032" w14:textId="52DD38C0" w:rsidR="0011057A" w:rsidRDefault="00A66AF1" w:rsidP="00C06F19">
      <w:pPr>
        <w:pStyle w:val="ListParagraph"/>
        <w:numPr>
          <w:ilvl w:val="0"/>
          <w:numId w:val="5"/>
        </w:numPr>
        <w:spacing w:line="360" w:lineRule="auto"/>
        <w:ind w:left="0" w:firstLine="720"/>
        <w:rPr>
          <w:rFonts w:ascii="Times" w:hAnsi="Times" w:cs="Times"/>
          <w:bCs/>
          <w:sz w:val="26"/>
          <w:szCs w:val="26"/>
        </w:rPr>
      </w:pPr>
      <w:r w:rsidRPr="005A69DA">
        <w:rPr>
          <w:rFonts w:ascii="Times" w:hAnsi="Times" w:cs="Times"/>
          <w:bCs/>
          <w:sz w:val="26"/>
          <w:szCs w:val="26"/>
        </w:rPr>
        <w:t>That a copy of this order b</w:t>
      </w:r>
      <w:r w:rsidR="00B95F2B" w:rsidRPr="005A69DA">
        <w:rPr>
          <w:rFonts w:ascii="Times" w:hAnsi="Times" w:cs="Times"/>
          <w:bCs/>
          <w:sz w:val="26"/>
          <w:szCs w:val="26"/>
        </w:rPr>
        <w:t>e</w:t>
      </w:r>
      <w:r w:rsidRPr="005A69DA">
        <w:rPr>
          <w:rFonts w:ascii="Times" w:hAnsi="Times" w:cs="Times"/>
          <w:bCs/>
          <w:sz w:val="26"/>
          <w:szCs w:val="26"/>
        </w:rPr>
        <w:t xml:space="preserve"> served upon </w:t>
      </w:r>
      <w:r w:rsidR="00FD0F1A">
        <w:rPr>
          <w:rFonts w:ascii="Times" w:hAnsi="Times" w:cs="Times"/>
          <w:bCs/>
          <w:sz w:val="26"/>
          <w:szCs w:val="26"/>
        </w:rPr>
        <w:t>Peoples Gas</w:t>
      </w:r>
      <w:r w:rsidRPr="005A69DA">
        <w:rPr>
          <w:rFonts w:ascii="Times" w:hAnsi="Times" w:cs="Times"/>
          <w:bCs/>
          <w:sz w:val="26"/>
          <w:szCs w:val="26"/>
        </w:rPr>
        <w:t xml:space="preserve">, the Commission’s Bureau of Investigation and Enforcement, the Office of Consumer </w:t>
      </w:r>
      <w:r w:rsidR="00B07AD5" w:rsidRPr="005A69DA">
        <w:rPr>
          <w:rFonts w:ascii="Times" w:hAnsi="Times" w:cs="Times"/>
          <w:bCs/>
          <w:sz w:val="26"/>
          <w:szCs w:val="26"/>
        </w:rPr>
        <w:t>Advocate,</w:t>
      </w:r>
      <w:r w:rsidRPr="005A69DA">
        <w:rPr>
          <w:rFonts w:ascii="Times" w:hAnsi="Times" w:cs="Times"/>
          <w:bCs/>
          <w:sz w:val="26"/>
          <w:szCs w:val="26"/>
        </w:rPr>
        <w:t xml:space="preserve"> and the Office of Small Business Advocate.</w:t>
      </w:r>
    </w:p>
    <w:p w14:paraId="101C43BE" w14:textId="77777777" w:rsidR="005A69DA" w:rsidRPr="005A69DA" w:rsidRDefault="005A69DA" w:rsidP="005A69DA">
      <w:pPr>
        <w:pStyle w:val="ListParagraph"/>
        <w:spacing w:line="360" w:lineRule="auto"/>
        <w:rPr>
          <w:rFonts w:ascii="Times" w:hAnsi="Times" w:cs="Times"/>
          <w:bCs/>
          <w:sz w:val="26"/>
          <w:szCs w:val="26"/>
        </w:rPr>
      </w:pPr>
    </w:p>
    <w:p w14:paraId="73C831A7" w14:textId="6F23A284" w:rsidR="0011057A" w:rsidRDefault="004A47FD" w:rsidP="00E76C5F">
      <w:pPr>
        <w:pStyle w:val="ListParagraph"/>
        <w:numPr>
          <w:ilvl w:val="0"/>
          <w:numId w:val="5"/>
        </w:numPr>
        <w:spacing w:line="360" w:lineRule="auto"/>
        <w:ind w:left="0" w:firstLine="720"/>
        <w:rPr>
          <w:rFonts w:ascii="Times" w:hAnsi="Times" w:cs="Times"/>
          <w:bCs/>
          <w:sz w:val="26"/>
          <w:szCs w:val="26"/>
        </w:rPr>
      </w:pPr>
      <w:r w:rsidRPr="004A47FD">
        <w:rPr>
          <w:rFonts w:ascii="Times" w:hAnsi="Times" w:cs="Times"/>
          <w:bCs/>
          <w:sz w:val="26"/>
          <w:szCs w:val="26"/>
        </w:rPr>
        <w:t xml:space="preserve">That </w:t>
      </w:r>
      <w:r w:rsidR="000B58DD">
        <w:rPr>
          <w:rFonts w:ascii="Times" w:hAnsi="Times" w:cs="Times"/>
          <w:bCs/>
          <w:sz w:val="26"/>
          <w:szCs w:val="26"/>
        </w:rPr>
        <w:t>Peoples Gas</w:t>
      </w:r>
      <w:r w:rsidRPr="004A47FD">
        <w:rPr>
          <w:rFonts w:ascii="Times" w:hAnsi="Times" w:cs="Times"/>
          <w:bCs/>
          <w:sz w:val="26"/>
          <w:szCs w:val="26"/>
        </w:rPr>
        <w:t xml:space="preserve"> shall include the necessary tariff updates to implement the distribution of savings with the Company’s annual TCJA tariff to be filed on or before </w:t>
      </w:r>
      <w:r w:rsidR="00A668F9">
        <w:rPr>
          <w:rFonts w:ascii="Times" w:hAnsi="Times" w:cs="Times"/>
          <w:bCs/>
          <w:sz w:val="26"/>
          <w:szCs w:val="26"/>
        </w:rPr>
        <w:t>December</w:t>
      </w:r>
      <w:r w:rsidRPr="004A47FD">
        <w:rPr>
          <w:rFonts w:ascii="Times" w:hAnsi="Times" w:cs="Times"/>
          <w:bCs/>
          <w:sz w:val="26"/>
          <w:szCs w:val="26"/>
        </w:rPr>
        <w:t xml:space="preserve"> 1, 2021, to become effective </w:t>
      </w:r>
      <w:r w:rsidR="00A668F9">
        <w:rPr>
          <w:rFonts w:ascii="Times" w:hAnsi="Times" w:cs="Times"/>
          <w:bCs/>
          <w:sz w:val="26"/>
          <w:szCs w:val="26"/>
        </w:rPr>
        <w:t>January</w:t>
      </w:r>
      <w:r w:rsidRPr="004A47FD">
        <w:rPr>
          <w:rFonts w:ascii="Times" w:hAnsi="Times" w:cs="Times"/>
          <w:bCs/>
          <w:sz w:val="26"/>
          <w:szCs w:val="26"/>
        </w:rPr>
        <w:t xml:space="preserve"> 1, 202</w:t>
      </w:r>
      <w:r w:rsidR="0019114F">
        <w:rPr>
          <w:rFonts w:ascii="Times" w:hAnsi="Times" w:cs="Times"/>
          <w:bCs/>
          <w:sz w:val="26"/>
          <w:szCs w:val="26"/>
        </w:rPr>
        <w:t>2</w:t>
      </w:r>
      <w:r w:rsidRPr="004A47FD">
        <w:rPr>
          <w:rFonts w:ascii="Times" w:hAnsi="Times" w:cs="Times"/>
          <w:bCs/>
          <w:sz w:val="26"/>
          <w:szCs w:val="26"/>
        </w:rPr>
        <w:t>, consistent with this Order</w:t>
      </w:r>
      <w:r w:rsidR="00C228BD">
        <w:rPr>
          <w:rFonts w:ascii="Times" w:hAnsi="Times" w:cs="Times"/>
          <w:bCs/>
          <w:sz w:val="26"/>
          <w:szCs w:val="26"/>
        </w:rPr>
        <w:t>.</w:t>
      </w:r>
    </w:p>
    <w:p w14:paraId="2A0D5892" w14:textId="77777777" w:rsidR="0082485B" w:rsidRPr="0082485B" w:rsidRDefault="0082485B" w:rsidP="0082485B">
      <w:pPr>
        <w:pStyle w:val="ListParagraph"/>
        <w:rPr>
          <w:rFonts w:ascii="Times" w:hAnsi="Times" w:cs="Times"/>
          <w:bCs/>
          <w:sz w:val="26"/>
          <w:szCs w:val="26"/>
        </w:rPr>
      </w:pPr>
    </w:p>
    <w:p w14:paraId="5D82981B" w14:textId="0F38AA23" w:rsidR="002749F5" w:rsidRPr="00FE288B" w:rsidRDefault="00530F76" w:rsidP="002749F5">
      <w:pPr>
        <w:pStyle w:val="ListParagraph"/>
        <w:numPr>
          <w:ilvl w:val="0"/>
          <w:numId w:val="5"/>
        </w:numPr>
        <w:spacing w:line="360" w:lineRule="auto"/>
        <w:ind w:left="0" w:firstLine="720"/>
        <w:rPr>
          <w:rFonts w:ascii="Times" w:hAnsi="Times" w:cs="Times"/>
          <w:bCs/>
          <w:sz w:val="26"/>
          <w:szCs w:val="26"/>
        </w:rPr>
      </w:pPr>
      <w:r>
        <w:rPr>
          <w:rFonts w:ascii="Times" w:hAnsi="Times" w:cs="Times"/>
          <w:bCs/>
          <w:sz w:val="26"/>
          <w:szCs w:val="26"/>
        </w:rPr>
        <w:t xml:space="preserve">That approval of this Petition </w:t>
      </w:r>
      <w:r w:rsidR="001A260E">
        <w:rPr>
          <w:rFonts w:ascii="Times" w:hAnsi="Times" w:cs="Times"/>
          <w:bCs/>
          <w:sz w:val="26"/>
          <w:szCs w:val="26"/>
        </w:rPr>
        <w:t>neither</w:t>
      </w:r>
      <w:r w:rsidR="001C03E7">
        <w:rPr>
          <w:rFonts w:ascii="Times" w:hAnsi="Times" w:cs="Times"/>
          <w:bCs/>
          <w:sz w:val="26"/>
          <w:szCs w:val="26"/>
        </w:rPr>
        <w:t xml:space="preserve"> con</w:t>
      </w:r>
      <w:r w:rsidR="00D86F9D">
        <w:rPr>
          <w:rFonts w:ascii="Times" w:hAnsi="Times" w:cs="Times"/>
          <w:bCs/>
          <w:sz w:val="26"/>
          <w:szCs w:val="26"/>
        </w:rPr>
        <w:t>firm</w:t>
      </w:r>
      <w:r w:rsidR="00F72CBB">
        <w:rPr>
          <w:rFonts w:ascii="Times" w:hAnsi="Times" w:cs="Times"/>
          <w:bCs/>
          <w:sz w:val="26"/>
          <w:szCs w:val="26"/>
        </w:rPr>
        <w:t>s</w:t>
      </w:r>
      <w:r w:rsidR="00D86F9D">
        <w:rPr>
          <w:rFonts w:ascii="Times" w:hAnsi="Times" w:cs="Times"/>
          <w:bCs/>
          <w:sz w:val="26"/>
          <w:szCs w:val="26"/>
        </w:rPr>
        <w:t xml:space="preserve"> the accuracy of the figures</w:t>
      </w:r>
      <w:r w:rsidR="001A260E">
        <w:rPr>
          <w:rFonts w:ascii="Times" w:hAnsi="Times" w:cs="Times"/>
          <w:bCs/>
          <w:sz w:val="26"/>
          <w:szCs w:val="26"/>
        </w:rPr>
        <w:t xml:space="preserve"> nor the appr</w:t>
      </w:r>
      <w:r w:rsidR="0053369B">
        <w:rPr>
          <w:rFonts w:ascii="Times" w:hAnsi="Times" w:cs="Times"/>
          <w:bCs/>
          <w:sz w:val="26"/>
          <w:szCs w:val="26"/>
        </w:rPr>
        <w:t>opr</w:t>
      </w:r>
      <w:r w:rsidR="001A260E">
        <w:rPr>
          <w:rFonts w:ascii="Times" w:hAnsi="Times" w:cs="Times"/>
          <w:bCs/>
          <w:sz w:val="26"/>
          <w:szCs w:val="26"/>
        </w:rPr>
        <w:t>iateness of the calculation</w:t>
      </w:r>
      <w:r w:rsidR="00FC4F42">
        <w:rPr>
          <w:rFonts w:ascii="Times" w:hAnsi="Times" w:cs="Times"/>
          <w:bCs/>
          <w:sz w:val="26"/>
          <w:szCs w:val="26"/>
        </w:rPr>
        <w:t>.</w:t>
      </w:r>
    </w:p>
    <w:p w14:paraId="7A040D74" w14:textId="77777777" w:rsidR="00F5768D" w:rsidRPr="00054452" w:rsidRDefault="00F5768D" w:rsidP="00054452">
      <w:pPr>
        <w:spacing w:line="360" w:lineRule="auto"/>
        <w:rPr>
          <w:rFonts w:ascii="Times" w:hAnsi="Times" w:cs="Times"/>
          <w:bCs/>
          <w:sz w:val="26"/>
          <w:szCs w:val="26"/>
        </w:rPr>
      </w:pPr>
    </w:p>
    <w:p w14:paraId="02746B37" w14:textId="77777777" w:rsidR="00A66AF1" w:rsidRPr="00595D86" w:rsidRDefault="00A66AF1" w:rsidP="00A66AF1">
      <w:pPr>
        <w:pStyle w:val="ListParagraph"/>
        <w:numPr>
          <w:ilvl w:val="0"/>
          <w:numId w:val="5"/>
        </w:numPr>
        <w:spacing w:line="360" w:lineRule="auto"/>
        <w:rPr>
          <w:rFonts w:ascii="Times" w:hAnsi="Times" w:cs="Times"/>
          <w:bCs/>
          <w:sz w:val="26"/>
          <w:szCs w:val="26"/>
        </w:rPr>
      </w:pPr>
      <w:r w:rsidRPr="00595D86">
        <w:rPr>
          <w:rFonts w:ascii="Times" w:hAnsi="Times" w:cs="Times"/>
          <w:bCs/>
          <w:sz w:val="26"/>
          <w:szCs w:val="26"/>
        </w:rPr>
        <w:t xml:space="preserve">That this proceeding be marked closed. </w:t>
      </w:r>
    </w:p>
    <w:p w14:paraId="4741C704" w14:textId="77777777" w:rsidR="00EE1DCC" w:rsidRPr="00595D86" w:rsidRDefault="00EE1DCC" w:rsidP="00EE1DCC">
      <w:pPr>
        <w:tabs>
          <w:tab w:val="left" w:pos="4320"/>
        </w:tabs>
        <w:rPr>
          <w:rFonts w:ascii="Times" w:hAnsi="Times" w:cs="Times"/>
          <w:sz w:val="26"/>
          <w:szCs w:val="26"/>
        </w:rPr>
      </w:pPr>
      <w:r w:rsidRPr="00595D86">
        <w:rPr>
          <w:rFonts w:ascii="Times" w:hAnsi="Times" w:cs="Times"/>
          <w:sz w:val="26"/>
          <w:szCs w:val="26"/>
        </w:rPr>
        <w:tab/>
      </w:r>
      <w:r w:rsidRPr="00595D86">
        <w:rPr>
          <w:rFonts w:ascii="Times" w:hAnsi="Times" w:cs="Times"/>
          <w:sz w:val="26"/>
          <w:szCs w:val="26"/>
        </w:rPr>
        <w:tab/>
      </w:r>
      <w:r w:rsidRPr="00595D86">
        <w:rPr>
          <w:rFonts w:ascii="Times" w:hAnsi="Times" w:cs="Times"/>
          <w:sz w:val="26"/>
          <w:szCs w:val="26"/>
        </w:rPr>
        <w:tab/>
      </w:r>
    </w:p>
    <w:p w14:paraId="417CBA79" w14:textId="77777777" w:rsidR="00EE1DCC" w:rsidRPr="00595D86" w:rsidRDefault="00EE1DCC" w:rsidP="00EE1DCC">
      <w:pPr>
        <w:tabs>
          <w:tab w:val="left" w:pos="742"/>
        </w:tabs>
        <w:rPr>
          <w:rFonts w:ascii="Times" w:hAnsi="Times" w:cs="Times"/>
          <w:sz w:val="26"/>
          <w:szCs w:val="26"/>
        </w:rPr>
      </w:pPr>
    </w:p>
    <w:p w14:paraId="690A9284" w14:textId="2E4FC8CE" w:rsidR="00EE1DCC" w:rsidRPr="00595D86" w:rsidRDefault="00AE276B" w:rsidP="00EE1DCC">
      <w:pPr>
        <w:pStyle w:val="p17"/>
        <w:ind w:left="5057"/>
        <w:rPr>
          <w:rFonts w:ascii="Times" w:hAnsi="Times" w:cs="Times"/>
          <w:b/>
          <w:bCs/>
          <w:sz w:val="26"/>
          <w:szCs w:val="26"/>
        </w:rPr>
      </w:pPr>
      <w:r>
        <w:rPr>
          <w:noProof/>
        </w:rPr>
        <w:drawing>
          <wp:anchor distT="0" distB="0" distL="114300" distR="114300" simplePos="0" relativeHeight="251659264" behindDoc="1" locked="0" layoutInCell="1" allowOverlap="1" wp14:anchorId="1CD9B480" wp14:editId="62761CE6">
            <wp:simplePos x="0" y="0"/>
            <wp:positionH relativeFrom="column">
              <wp:posOffset>3162300</wp:posOffset>
            </wp:positionH>
            <wp:positionV relativeFrom="paragraph">
              <wp:posOffset>104775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EE1DCC" w:rsidRPr="00595D86">
        <w:rPr>
          <w:rFonts w:ascii="Times" w:hAnsi="Times" w:cs="Times"/>
          <w:b/>
          <w:bCs/>
          <w:sz w:val="26"/>
          <w:szCs w:val="26"/>
        </w:rPr>
        <w:t>BY THE COMMISSION</w:t>
      </w:r>
    </w:p>
    <w:p w14:paraId="55A3B4A2" w14:textId="1C7ACE79" w:rsidR="00EE1DCC" w:rsidRPr="00595D86" w:rsidRDefault="00EE1DCC" w:rsidP="00EE1DCC">
      <w:pPr>
        <w:tabs>
          <w:tab w:val="left" w:pos="5057"/>
        </w:tabs>
        <w:rPr>
          <w:rFonts w:ascii="Times" w:hAnsi="Times" w:cs="Times"/>
          <w:bCs/>
          <w:sz w:val="26"/>
          <w:szCs w:val="26"/>
        </w:rPr>
      </w:pPr>
    </w:p>
    <w:p w14:paraId="04558D29" w14:textId="77777777" w:rsidR="00EE1DCC" w:rsidRPr="00595D86" w:rsidRDefault="00EE1DCC" w:rsidP="00EE1DCC">
      <w:pPr>
        <w:tabs>
          <w:tab w:val="left" w:pos="5057"/>
        </w:tabs>
        <w:rPr>
          <w:rFonts w:ascii="Times" w:hAnsi="Times" w:cs="Times"/>
          <w:b/>
          <w:bCs/>
          <w:sz w:val="26"/>
          <w:szCs w:val="26"/>
        </w:rPr>
      </w:pPr>
    </w:p>
    <w:p w14:paraId="61151D5B" w14:textId="77777777" w:rsidR="00EE1DCC" w:rsidRPr="00595D86" w:rsidRDefault="00EE1DCC" w:rsidP="00EE1DCC">
      <w:pPr>
        <w:tabs>
          <w:tab w:val="left" w:pos="5057"/>
        </w:tabs>
        <w:rPr>
          <w:rFonts w:ascii="Times" w:hAnsi="Times" w:cs="Times"/>
          <w:b/>
          <w:bCs/>
          <w:sz w:val="26"/>
          <w:szCs w:val="26"/>
        </w:rPr>
      </w:pPr>
    </w:p>
    <w:p w14:paraId="0214267F" w14:textId="77777777" w:rsidR="00EE1DCC" w:rsidRPr="00595D86" w:rsidRDefault="00EE1DCC" w:rsidP="00EE1DCC">
      <w:pPr>
        <w:pStyle w:val="p18"/>
        <w:ind w:left="5062"/>
        <w:rPr>
          <w:rFonts w:ascii="Times" w:hAnsi="Times" w:cs="Times"/>
          <w:sz w:val="26"/>
          <w:szCs w:val="26"/>
        </w:rPr>
      </w:pPr>
      <w:r w:rsidRPr="00595D86">
        <w:rPr>
          <w:rFonts w:ascii="Times" w:hAnsi="Times" w:cs="Times"/>
          <w:sz w:val="26"/>
          <w:szCs w:val="26"/>
        </w:rPr>
        <w:t>Rosemary Chiavetta</w:t>
      </w:r>
    </w:p>
    <w:p w14:paraId="5A1581F8" w14:textId="77777777" w:rsidR="00EE1DCC" w:rsidRPr="00595D86" w:rsidRDefault="00EE1DCC" w:rsidP="00EE1DCC">
      <w:pPr>
        <w:pStyle w:val="p18"/>
        <w:ind w:left="5062"/>
        <w:rPr>
          <w:rFonts w:ascii="Times" w:hAnsi="Times" w:cs="Times"/>
          <w:sz w:val="26"/>
          <w:szCs w:val="26"/>
        </w:rPr>
      </w:pPr>
      <w:r w:rsidRPr="00595D86">
        <w:rPr>
          <w:rFonts w:ascii="Times" w:hAnsi="Times" w:cs="Times"/>
          <w:sz w:val="26"/>
          <w:szCs w:val="26"/>
        </w:rPr>
        <w:t>Secretary</w:t>
      </w:r>
    </w:p>
    <w:p w14:paraId="0627EAE8" w14:textId="77777777" w:rsidR="00EE1DCC" w:rsidRPr="00595D86" w:rsidRDefault="00EE1DCC" w:rsidP="00EE1DCC">
      <w:pPr>
        <w:tabs>
          <w:tab w:val="left" w:pos="5062"/>
        </w:tabs>
        <w:rPr>
          <w:rFonts w:ascii="Times" w:hAnsi="Times" w:cs="Times"/>
          <w:sz w:val="26"/>
          <w:szCs w:val="26"/>
        </w:rPr>
      </w:pPr>
    </w:p>
    <w:p w14:paraId="446B684C" w14:textId="77777777" w:rsidR="00EE1DCC" w:rsidRPr="00595D86" w:rsidRDefault="00EE1DCC" w:rsidP="00EE1DCC">
      <w:pPr>
        <w:pStyle w:val="p14"/>
        <w:rPr>
          <w:rFonts w:ascii="Times" w:hAnsi="Times" w:cs="Times"/>
          <w:sz w:val="26"/>
          <w:szCs w:val="26"/>
        </w:rPr>
      </w:pPr>
      <w:r w:rsidRPr="00595D86">
        <w:rPr>
          <w:rFonts w:ascii="Times" w:hAnsi="Times" w:cs="Times"/>
          <w:sz w:val="26"/>
          <w:szCs w:val="26"/>
        </w:rPr>
        <w:t>(SEAL)</w:t>
      </w:r>
    </w:p>
    <w:p w14:paraId="678D1747" w14:textId="77777777" w:rsidR="00EE1DCC" w:rsidRPr="00595D86" w:rsidRDefault="00EE1DCC" w:rsidP="00EE1DCC">
      <w:pPr>
        <w:tabs>
          <w:tab w:val="left" w:pos="204"/>
        </w:tabs>
        <w:rPr>
          <w:rFonts w:ascii="Times" w:hAnsi="Times" w:cs="Times"/>
          <w:sz w:val="26"/>
          <w:szCs w:val="26"/>
        </w:rPr>
      </w:pPr>
    </w:p>
    <w:p w14:paraId="2AC2FFAC" w14:textId="724BBDC1" w:rsidR="00EE1DCC" w:rsidRPr="00595D86" w:rsidRDefault="00EE1DCC" w:rsidP="00EE1DCC">
      <w:pPr>
        <w:pStyle w:val="p14"/>
        <w:rPr>
          <w:rFonts w:ascii="Times" w:hAnsi="Times" w:cs="Times"/>
          <w:sz w:val="26"/>
          <w:szCs w:val="26"/>
        </w:rPr>
      </w:pPr>
      <w:r w:rsidRPr="00595D86">
        <w:rPr>
          <w:rFonts w:ascii="Times" w:hAnsi="Times" w:cs="Times"/>
          <w:sz w:val="26"/>
          <w:szCs w:val="26"/>
        </w:rPr>
        <w:t xml:space="preserve">ORDER ADOPTED:  </w:t>
      </w:r>
      <w:r w:rsidR="0019114F">
        <w:rPr>
          <w:rFonts w:ascii="Times" w:hAnsi="Times" w:cs="Times"/>
          <w:sz w:val="26"/>
          <w:szCs w:val="26"/>
        </w:rPr>
        <w:t>November 18</w:t>
      </w:r>
      <w:r w:rsidR="00B63FFE">
        <w:rPr>
          <w:rFonts w:ascii="Times" w:hAnsi="Times" w:cs="Times"/>
          <w:sz w:val="26"/>
          <w:szCs w:val="26"/>
        </w:rPr>
        <w:t>, 20</w:t>
      </w:r>
      <w:r w:rsidR="00054452">
        <w:rPr>
          <w:rFonts w:ascii="Times" w:hAnsi="Times" w:cs="Times"/>
          <w:sz w:val="26"/>
          <w:szCs w:val="26"/>
        </w:rPr>
        <w:t>21</w:t>
      </w:r>
    </w:p>
    <w:p w14:paraId="15D72D26" w14:textId="77777777" w:rsidR="00EE1DCC" w:rsidRPr="00595D86" w:rsidRDefault="00EE1DCC" w:rsidP="00EE1DCC">
      <w:pPr>
        <w:pStyle w:val="p14"/>
        <w:rPr>
          <w:rFonts w:ascii="Times" w:hAnsi="Times" w:cs="Times"/>
          <w:sz w:val="26"/>
          <w:szCs w:val="26"/>
        </w:rPr>
      </w:pPr>
    </w:p>
    <w:p w14:paraId="7AEBBF1A" w14:textId="49C1A69A" w:rsidR="00EE1DCC" w:rsidRPr="00595D86" w:rsidRDefault="00EE1DCC" w:rsidP="00EE1DCC">
      <w:pPr>
        <w:pStyle w:val="p14"/>
        <w:rPr>
          <w:rFonts w:ascii="Times" w:hAnsi="Times" w:cs="Times"/>
          <w:sz w:val="26"/>
          <w:szCs w:val="26"/>
        </w:rPr>
      </w:pPr>
      <w:r w:rsidRPr="00595D86">
        <w:rPr>
          <w:rFonts w:ascii="Times" w:hAnsi="Times" w:cs="Times"/>
          <w:sz w:val="26"/>
          <w:szCs w:val="26"/>
        </w:rPr>
        <w:t xml:space="preserve">ORDER ENTERED:  </w:t>
      </w:r>
      <w:r w:rsidR="00AE276B">
        <w:rPr>
          <w:rFonts w:ascii="Times" w:hAnsi="Times" w:cs="Times"/>
          <w:sz w:val="26"/>
          <w:szCs w:val="26"/>
        </w:rPr>
        <w:t>November 18, 2021</w:t>
      </w:r>
    </w:p>
    <w:p w14:paraId="1AA2A1F5" w14:textId="27A1C604" w:rsidR="00732189" w:rsidRPr="00A72227" w:rsidRDefault="00732189" w:rsidP="00A72227">
      <w:pPr>
        <w:rPr>
          <w:rFonts w:ascii="Times" w:hAnsi="Times" w:cs="Times"/>
          <w:b/>
          <w:bCs/>
          <w:sz w:val="26"/>
          <w:szCs w:val="26"/>
        </w:rPr>
      </w:pPr>
    </w:p>
    <w:sectPr w:rsidR="00732189" w:rsidRPr="00A72227" w:rsidSect="00D83182">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15B7" w14:textId="77777777" w:rsidR="00D06332" w:rsidRDefault="00D06332" w:rsidP="00880544">
      <w:r>
        <w:separator/>
      </w:r>
    </w:p>
  </w:endnote>
  <w:endnote w:type="continuationSeparator" w:id="0">
    <w:p w14:paraId="3AC183EE" w14:textId="77777777" w:rsidR="00D06332" w:rsidRDefault="00D06332" w:rsidP="00880544">
      <w:r>
        <w:continuationSeparator/>
      </w:r>
    </w:p>
  </w:endnote>
  <w:endnote w:type="continuationNotice" w:id="1">
    <w:p w14:paraId="6DBA7656" w14:textId="77777777" w:rsidR="00D06332" w:rsidRDefault="00D06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028F" w14:textId="77777777" w:rsidR="006A01F9" w:rsidRDefault="00F11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6FBA5" w14:textId="77777777" w:rsidR="006A01F9" w:rsidRDefault="00AE2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2B70" w14:textId="77777777" w:rsidR="006A01F9" w:rsidRDefault="00F11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0FBD">
      <w:rPr>
        <w:rStyle w:val="PageNumber"/>
        <w:noProof/>
      </w:rPr>
      <w:t>5</w:t>
    </w:r>
    <w:r>
      <w:rPr>
        <w:rStyle w:val="PageNumber"/>
      </w:rPr>
      <w:fldChar w:fldCharType="end"/>
    </w:r>
  </w:p>
  <w:p w14:paraId="0C6263EC" w14:textId="77777777" w:rsidR="006A01F9" w:rsidRDefault="00AE276B"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28BF" w14:textId="77777777" w:rsidR="00D06332" w:rsidRDefault="00D06332" w:rsidP="00880544">
      <w:r>
        <w:separator/>
      </w:r>
    </w:p>
  </w:footnote>
  <w:footnote w:type="continuationSeparator" w:id="0">
    <w:p w14:paraId="0AAC4972" w14:textId="77777777" w:rsidR="00D06332" w:rsidRDefault="00D06332" w:rsidP="00880544">
      <w:r>
        <w:continuationSeparator/>
      </w:r>
    </w:p>
  </w:footnote>
  <w:footnote w:type="continuationNotice" w:id="1">
    <w:p w14:paraId="6B1D1286" w14:textId="77777777" w:rsidR="00D06332" w:rsidRDefault="00D06332"/>
  </w:footnote>
  <w:footnote w:id="2">
    <w:p w14:paraId="6BAD1D02" w14:textId="157AFC1F" w:rsidR="004F780E" w:rsidRDefault="004F780E" w:rsidP="004F780E">
      <w:pPr>
        <w:pStyle w:val="FootnoteText"/>
      </w:pPr>
      <w:r>
        <w:rPr>
          <w:rStyle w:val="FootnoteReference"/>
        </w:rPr>
        <w:footnoteRef/>
      </w:r>
      <w:r>
        <w:t xml:space="preserve"> </w:t>
      </w:r>
      <w:r w:rsidRPr="00CF39BB">
        <w:rPr>
          <w:i/>
          <w:iCs/>
        </w:rPr>
        <w:t>See</w:t>
      </w:r>
      <w:r>
        <w:t xml:space="preserve"> response to data request TUS-</w:t>
      </w:r>
      <w:r w:rsidR="00647CBB">
        <w:t>3</w:t>
      </w:r>
      <w:r>
        <w:t>.</w:t>
      </w:r>
    </w:p>
  </w:footnote>
  <w:footnote w:id="3">
    <w:p w14:paraId="6B3ECC1C" w14:textId="2F676C5A" w:rsidR="004F780E" w:rsidRDefault="004F780E" w:rsidP="004F780E">
      <w:pPr>
        <w:pStyle w:val="FootnoteText"/>
      </w:pPr>
      <w:r>
        <w:rPr>
          <w:rStyle w:val="FootnoteReference"/>
        </w:rPr>
        <w:footnoteRef/>
      </w:r>
      <w:r>
        <w:t xml:space="preserve"> </w:t>
      </w:r>
      <w:r w:rsidRPr="00C50CE2">
        <w:rPr>
          <w:i/>
          <w:iCs/>
        </w:rPr>
        <w:t>See</w:t>
      </w:r>
      <w:r>
        <w:t xml:space="preserve"> response to data request TUS-1</w:t>
      </w:r>
      <w:r w:rsidR="00BB5D17">
        <w:t>2</w:t>
      </w:r>
      <w:r>
        <w:t>.</w:t>
      </w:r>
    </w:p>
  </w:footnote>
  <w:footnote w:id="4">
    <w:p w14:paraId="63294E13" w14:textId="5B4EC7D6" w:rsidR="004F780E" w:rsidRDefault="004F780E" w:rsidP="004F780E">
      <w:pPr>
        <w:pStyle w:val="FootnoteText"/>
      </w:pPr>
      <w:r>
        <w:rPr>
          <w:rStyle w:val="FootnoteReference"/>
        </w:rPr>
        <w:footnoteRef/>
      </w:r>
      <w:r>
        <w:t xml:space="preserve"> </w:t>
      </w:r>
      <w:proofErr w:type="gramStart"/>
      <w:r>
        <w:t>With the exception of</w:t>
      </w:r>
      <w:proofErr w:type="gramEnd"/>
      <w:r>
        <w:t xml:space="preserve"> </w:t>
      </w:r>
      <w:r w:rsidR="00435DE0">
        <w:t>Metropolitan Edison Company</w:t>
      </w:r>
      <w:r w:rsidR="00F86091">
        <w:t>, Pennsylvania Electric Company</w:t>
      </w:r>
      <w:r w:rsidR="004854BE">
        <w:t xml:space="preserve">, </w:t>
      </w:r>
      <w:r w:rsidR="00F86091">
        <w:t xml:space="preserve">Pennsylvania Power Company, </w:t>
      </w:r>
      <w:r w:rsidR="003D358D">
        <w:t xml:space="preserve">West Penn Power Company, </w:t>
      </w:r>
      <w:r>
        <w:t xml:space="preserve">and Peoples </w:t>
      </w:r>
      <w:r w:rsidR="00246151">
        <w:t>Gas</w:t>
      </w:r>
      <w:r>
        <w:t xml:space="preserve">, all utilities recognized to have a TCJA-related tax liability have flowed back EADIT either explicitly via a petition to distribute the regulatory liability accrued prior to July 1, </w:t>
      </w:r>
      <w:r w:rsidR="00595BF8">
        <w:t>2018,</w:t>
      </w:r>
      <w:r>
        <w:t xml:space="preserve"> or implicitly via a base rate case proceeding.</w:t>
      </w:r>
    </w:p>
  </w:footnote>
  <w:footnote w:id="5">
    <w:p w14:paraId="5DE923A5" w14:textId="230A3A9A" w:rsidR="00B376D6" w:rsidRDefault="00B376D6">
      <w:pPr>
        <w:pStyle w:val="FootnoteText"/>
      </w:pPr>
      <w:r>
        <w:rPr>
          <w:rStyle w:val="FootnoteReference"/>
        </w:rPr>
        <w:footnoteRef/>
      </w:r>
      <w:r>
        <w:t xml:space="preserve"> </w:t>
      </w:r>
      <w:r w:rsidR="00D93FE9" w:rsidRPr="00D93FE9">
        <w:t>Peoples Gas</w:t>
      </w:r>
      <w:r w:rsidR="00D93FE9">
        <w:t xml:space="preserve"> avers it</w:t>
      </w:r>
      <w:r w:rsidR="00D93FE9" w:rsidRPr="00D93FE9">
        <w:t xml:space="preserve"> calculated the interest on the stub period amount consistent with the methodology used in the Company’s 1307(e) annual reconciliation filed at Docket No. M-2019-3009278 on April 30, 2019.</w:t>
      </w:r>
    </w:p>
  </w:footnote>
  <w:footnote w:id="6">
    <w:p w14:paraId="0D824A7B" w14:textId="7D29F1F4" w:rsidR="0074346F" w:rsidRDefault="0074346F">
      <w:pPr>
        <w:pStyle w:val="FootnoteText"/>
      </w:pPr>
      <w:r>
        <w:rPr>
          <w:rStyle w:val="FootnoteReference"/>
        </w:rPr>
        <w:footnoteRef/>
      </w:r>
      <w:r>
        <w:t xml:space="preserve"> </w:t>
      </w:r>
      <w:r w:rsidRPr="00A92210">
        <w:rPr>
          <w:i/>
          <w:iCs/>
        </w:rPr>
        <w:t>See</w:t>
      </w:r>
      <w:r w:rsidR="00A92210">
        <w:t xml:space="preserve"> response to data request TUS-5.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C98"/>
    <w:multiLevelType w:val="hybridMultilevel"/>
    <w:tmpl w:val="9D6A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42398"/>
    <w:multiLevelType w:val="hybridMultilevel"/>
    <w:tmpl w:val="3ACC2862"/>
    <w:lvl w:ilvl="0" w:tplc="28C8F7F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D0834"/>
    <w:multiLevelType w:val="hybridMultilevel"/>
    <w:tmpl w:val="5642B7DE"/>
    <w:lvl w:ilvl="0" w:tplc="8F16D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A0AEB"/>
    <w:multiLevelType w:val="hybridMultilevel"/>
    <w:tmpl w:val="FD68309A"/>
    <w:lvl w:ilvl="0" w:tplc="8D36B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2555D0"/>
    <w:multiLevelType w:val="hybridMultilevel"/>
    <w:tmpl w:val="94DC67D4"/>
    <w:lvl w:ilvl="0" w:tplc="F2122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EE"/>
    <w:rsid w:val="000003D7"/>
    <w:rsid w:val="00000E44"/>
    <w:rsid w:val="000027D2"/>
    <w:rsid w:val="00003053"/>
    <w:rsid w:val="00004CAC"/>
    <w:rsid w:val="00005C8C"/>
    <w:rsid w:val="00006F74"/>
    <w:rsid w:val="00011B5D"/>
    <w:rsid w:val="00014690"/>
    <w:rsid w:val="000168A7"/>
    <w:rsid w:val="0002331B"/>
    <w:rsid w:val="000264DB"/>
    <w:rsid w:val="00027BBA"/>
    <w:rsid w:val="00032F35"/>
    <w:rsid w:val="00033791"/>
    <w:rsid w:val="00033D41"/>
    <w:rsid w:val="000341A8"/>
    <w:rsid w:val="00047562"/>
    <w:rsid w:val="000479B1"/>
    <w:rsid w:val="000541A6"/>
    <w:rsid w:val="00054452"/>
    <w:rsid w:val="0005470A"/>
    <w:rsid w:val="00063D4F"/>
    <w:rsid w:val="00065C00"/>
    <w:rsid w:val="000717A3"/>
    <w:rsid w:val="00073983"/>
    <w:rsid w:val="000753D5"/>
    <w:rsid w:val="000776BE"/>
    <w:rsid w:val="0008439E"/>
    <w:rsid w:val="00085C40"/>
    <w:rsid w:val="00087642"/>
    <w:rsid w:val="00097FF9"/>
    <w:rsid w:val="000A5078"/>
    <w:rsid w:val="000B400C"/>
    <w:rsid w:val="000B58DD"/>
    <w:rsid w:val="000C391F"/>
    <w:rsid w:val="000C6BB9"/>
    <w:rsid w:val="000D5CC4"/>
    <w:rsid w:val="000E102E"/>
    <w:rsid w:val="000E2213"/>
    <w:rsid w:val="000E532F"/>
    <w:rsid w:val="000E5B85"/>
    <w:rsid w:val="000F04D0"/>
    <w:rsid w:val="000F0E47"/>
    <w:rsid w:val="000F2BF2"/>
    <w:rsid w:val="00102A2D"/>
    <w:rsid w:val="0011057A"/>
    <w:rsid w:val="00111FEF"/>
    <w:rsid w:val="0011216F"/>
    <w:rsid w:val="001136A7"/>
    <w:rsid w:val="0011729F"/>
    <w:rsid w:val="00123A70"/>
    <w:rsid w:val="00127B38"/>
    <w:rsid w:val="00133679"/>
    <w:rsid w:val="001375D6"/>
    <w:rsid w:val="001407FA"/>
    <w:rsid w:val="0014155C"/>
    <w:rsid w:val="00147828"/>
    <w:rsid w:val="00153524"/>
    <w:rsid w:val="001548FB"/>
    <w:rsid w:val="00160129"/>
    <w:rsid w:val="0016247D"/>
    <w:rsid w:val="00165D5C"/>
    <w:rsid w:val="00176920"/>
    <w:rsid w:val="00180CA8"/>
    <w:rsid w:val="0018679E"/>
    <w:rsid w:val="0019114F"/>
    <w:rsid w:val="00194114"/>
    <w:rsid w:val="001A260E"/>
    <w:rsid w:val="001A51CD"/>
    <w:rsid w:val="001B57B5"/>
    <w:rsid w:val="001C03E7"/>
    <w:rsid w:val="001C0C55"/>
    <w:rsid w:val="001C5283"/>
    <w:rsid w:val="001C5711"/>
    <w:rsid w:val="001D569F"/>
    <w:rsid w:val="001D667D"/>
    <w:rsid w:val="001D6AD7"/>
    <w:rsid w:val="001E1C97"/>
    <w:rsid w:val="001E2534"/>
    <w:rsid w:val="001E608A"/>
    <w:rsid w:val="001F2D20"/>
    <w:rsid w:val="001F300A"/>
    <w:rsid w:val="002002BB"/>
    <w:rsid w:val="002002D4"/>
    <w:rsid w:val="00204828"/>
    <w:rsid w:val="002141B0"/>
    <w:rsid w:val="00215FD2"/>
    <w:rsid w:val="00216284"/>
    <w:rsid w:val="002170F9"/>
    <w:rsid w:val="00217107"/>
    <w:rsid w:val="00220631"/>
    <w:rsid w:val="00246151"/>
    <w:rsid w:val="0026401A"/>
    <w:rsid w:val="00264CC1"/>
    <w:rsid w:val="00266ED1"/>
    <w:rsid w:val="002678CB"/>
    <w:rsid w:val="00271C13"/>
    <w:rsid w:val="00271E59"/>
    <w:rsid w:val="002728F3"/>
    <w:rsid w:val="002749F5"/>
    <w:rsid w:val="002753FE"/>
    <w:rsid w:val="002831EB"/>
    <w:rsid w:val="00283626"/>
    <w:rsid w:val="00284D3F"/>
    <w:rsid w:val="00285FAA"/>
    <w:rsid w:val="002908A7"/>
    <w:rsid w:val="0029606F"/>
    <w:rsid w:val="00297730"/>
    <w:rsid w:val="00297A61"/>
    <w:rsid w:val="002B1998"/>
    <w:rsid w:val="002D3A1E"/>
    <w:rsid w:val="002D5287"/>
    <w:rsid w:val="002F31B1"/>
    <w:rsid w:val="002F7084"/>
    <w:rsid w:val="00306E8D"/>
    <w:rsid w:val="0030709C"/>
    <w:rsid w:val="003113EA"/>
    <w:rsid w:val="00314865"/>
    <w:rsid w:val="00314B10"/>
    <w:rsid w:val="00315E95"/>
    <w:rsid w:val="0032076F"/>
    <w:rsid w:val="003210E5"/>
    <w:rsid w:val="00323B16"/>
    <w:rsid w:val="00324FBF"/>
    <w:rsid w:val="00325448"/>
    <w:rsid w:val="00330D7B"/>
    <w:rsid w:val="00332FBE"/>
    <w:rsid w:val="00347F88"/>
    <w:rsid w:val="00350804"/>
    <w:rsid w:val="00353248"/>
    <w:rsid w:val="00357E76"/>
    <w:rsid w:val="00361C4D"/>
    <w:rsid w:val="003627A9"/>
    <w:rsid w:val="003719E1"/>
    <w:rsid w:val="0038076C"/>
    <w:rsid w:val="00380D8D"/>
    <w:rsid w:val="00385E2B"/>
    <w:rsid w:val="00387A8F"/>
    <w:rsid w:val="00393094"/>
    <w:rsid w:val="003A2216"/>
    <w:rsid w:val="003A3D73"/>
    <w:rsid w:val="003B020B"/>
    <w:rsid w:val="003B45CD"/>
    <w:rsid w:val="003B7309"/>
    <w:rsid w:val="003C1180"/>
    <w:rsid w:val="003C4233"/>
    <w:rsid w:val="003C6175"/>
    <w:rsid w:val="003D0105"/>
    <w:rsid w:val="003D1439"/>
    <w:rsid w:val="003D1FF1"/>
    <w:rsid w:val="003D2AFA"/>
    <w:rsid w:val="003D358D"/>
    <w:rsid w:val="003D473A"/>
    <w:rsid w:val="003D4F7E"/>
    <w:rsid w:val="003E023C"/>
    <w:rsid w:val="003E0E04"/>
    <w:rsid w:val="003E2DB4"/>
    <w:rsid w:val="003E5E85"/>
    <w:rsid w:val="003E64BF"/>
    <w:rsid w:val="003F3D73"/>
    <w:rsid w:val="003F448C"/>
    <w:rsid w:val="003F50D9"/>
    <w:rsid w:val="00401F31"/>
    <w:rsid w:val="00403238"/>
    <w:rsid w:val="004068CA"/>
    <w:rsid w:val="00412717"/>
    <w:rsid w:val="00422019"/>
    <w:rsid w:val="00435DE0"/>
    <w:rsid w:val="00442467"/>
    <w:rsid w:val="00446D6D"/>
    <w:rsid w:val="0045014C"/>
    <w:rsid w:val="00453D91"/>
    <w:rsid w:val="004650A9"/>
    <w:rsid w:val="00477518"/>
    <w:rsid w:val="00483E67"/>
    <w:rsid w:val="004854BE"/>
    <w:rsid w:val="004913B9"/>
    <w:rsid w:val="004966B7"/>
    <w:rsid w:val="004A2010"/>
    <w:rsid w:val="004A47FD"/>
    <w:rsid w:val="004A715F"/>
    <w:rsid w:val="004B168B"/>
    <w:rsid w:val="004B3CD7"/>
    <w:rsid w:val="004B5423"/>
    <w:rsid w:val="004C5287"/>
    <w:rsid w:val="004D1B79"/>
    <w:rsid w:val="004E22A8"/>
    <w:rsid w:val="004F22CB"/>
    <w:rsid w:val="004F780E"/>
    <w:rsid w:val="004F7A64"/>
    <w:rsid w:val="00500FD9"/>
    <w:rsid w:val="00503999"/>
    <w:rsid w:val="00504166"/>
    <w:rsid w:val="005131E5"/>
    <w:rsid w:val="0051356F"/>
    <w:rsid w:val="00515C5C"/>
    <w:rsid w:val="005233BF"/>
    <w:rsid w:val="005233DA"/>
    <w:rsid w:val="00523EAA"/>
    <w:rsid w:val="00530F76"/>
    <w:rsid w:val="0053369B"/>
    <w:rsid w:val="00535939"/>
    <w:rsid w:val="00536E58"/>
    <w:rsid w:val="00546283"/>
    <w:rsid w:val="0055133F"/>
    <w:rsid w:val="00560E80"/>
    <w:rsid w:val="00563F54"/>
    <w:rsid w:val="005669D9"/>
    <w:rsid w:val="00567279"/>
    <w:rsid w:val="0057161B"/>
    <w:rsid w:val="00572CB1"/>
    <w:rsid w:val="005852E3"/>
    <w:rsid w:val="00595BF8"/>
    <w:rsid w:val="00595D86"/>
    <w:rsid w:val="00597F6B"/>
    <w:rsid w:val="005A1BE5"/>
    <w:rsid w:val="005A69DA"/>
    <w:rsid w:val="005A7920"/>
    <w:rsid w:val="005B2D8F"/>
    <w:rsid w:val="005B338F"/>
    <w:rsid w:val="005B6137"/>
    <w:rsid w:val="005D4C07"/>
    <w:rsid w:val="005D5C26"/>
    <w:rsid w:val="005E01F5"/>
    <w:rsid w:val="005E0FBD"/>
    <w:rsid w:val="005E23EB"/>
    <w:rsid w:val="005E3A80"/>
    <w:rsid w:val="005E712E"/>
    <w:rsid w:val="005F2266"/>
    <w:rsid w:val="005F4188"/>
    <w:rsid w:val="005F45F6"/>
    <w:rsid w:val="005F5C2D"/>
    <w:rsid w:val="0060048C"/>
    <w:rsid w:val="00604407"/>
    <w:rsid w:val="006078AA"/>
    <w:rsid w:val="00610643"/>
    <w:rsid w:val="0061390A"/>
    <w:rsid w:val="006147EE"/>
    <w:rsid w:val="00622230"/>
    <w:rsid w:val="00627E7C"/>
    <w:rsid w:val="006300C6"/>
    <w:rsid w:val="00631ED3"/>
    <w:rsid w:val="006320A5"/>
    <w:rsid w:val="00632AAA"/>
    <w:rsid w:val="0063792E"/>
    <w:rsid w:val="00637A5B"/>
    <w:rsid w:val="00643D97"/>
    <w:rsid w:val="00645868"/>
    <w:rsid w:val="00647CBB"/>
    <w:rsid w:val="00651284"/>
    <w:rsid w:val="00654FEB"/>
    <w:rsid w:val="00662D25"/>
    <w:rsid w:val="006656AF"/>
    <w:rsid w:val="00666E85"/>
    <w:rsid w:val="006672D7"/>
    <w:rsid w:val="00687A0B"/>
    <w:rsid w:val="006902D6"/>
    <w:rsid w:val="00693B91"/>
    <w:rsid w:val="00694B04"/>
    <w:rsid w:val="00695A0A"/>
    <w:rsid w:val="006A28F8"/>
    <w:rsid w:val="006B13C3"/>
    <w:rsid w:val="006B7B75"/>
    <w:rsid w:val="006D2CD6"/>
    <w:rsid w:val="006D4185"/>
    <w:rsid w:val="006E0BB6"/>
    <w:rsid w:val="006E1FFC"/>
    <w:rsid w:val="006F3068"/>
    <w:rsid w:val="00702200"/>
    <w:rsid w:val="00702DC6"/>
    <w:rsid w:val="00704D6A"/>
    <w:rsid w:val="00705C10"/>
    <w:rsid w:val="00710C3E"/>
    <w:rsid w:val="007110ED"/>
    <w:rsid w:val="00711F80"/>
    <w:rsid w:val="0071528D"/>
    <w:rsid w:val="00715B20"/>
    <w:rsid w:val="00717D83"/>
    <w:rsid w:val="0072525C"/>
    <w:rsid w:val="0072656A"/>
    <w:rsid w:val="0072664C"/>
    <w:rsid w:val="00732189"/>
    <w:rsid w:val="00734042"/>
    <w:rsid w:val="007403F7"/>
    <w:rsid w:val="00742129"/>
    <w:rsid w:val="0074346F"/>
    <w:rsid w:val="00743E8F"/>
    <w:rsid w:val="00745182"/>
    <w:rsid w:val="00746B4D"/>
    <w:rsid w:val="007532DE"/>
    <w:rsid w:val="00756AD4"/>
    <w:rsid w:val="00756FBA"/>
    <w:rsid w:val="007579C8"/>
    <w:rsid w:val="007633E9"/>
    <w:rsid w:val="00763C7B"/>
    <w:rsid w:val="00764743"/>
    <w:rsid w:val="00764F05"/>
    <w:rsid w:val="00773891"/>
    <w:rsid w:val="00773E23"/>
    <w:rsid w:val="00777B6E"/>
    <w:rsid w:val="007806BF"/>
    <w:rsid w:val="00781442"/>
    <w:rsid w:val="00782ACE"/>
    <w:rsid w:val="007903A4"/>
    <w:rsid w:val="00794E8B"/>
    <w:rsid w:val="007A1008"/>
    <w:rsid w:val="007A17E5"/>
    <w:rsid w:val="007A3760"/>
    <w:rsid w:val="007A4502"/>
    <w:rsid w:val="007A7D7D"/>
    <w:rsid w:val="007B5EC8"/>
    <w:rsid w:val="007C180B"/>
    <w:rsid w:val="007C2CEC"/>
    <w:rsid w:val="007C5827"/>
    <w:rsid w:val="007C70A5"/>
    <w:rsid w:val="007D3FC1"/>
    <w:rsid w:val="007D4205"/>
    <w:rsid w:val="007D66BB"/>
    <w:rsid w:val="007E1369"/>
    <w:rsid w:val="007E1EE4"/>
    <w:rsid w:val="007E4E56"/>
    <w:rsid w:val="007E7B5D"/>
    <w:rsid w:val="007F356B"/>
    <w:rsid w:val="007F38FA"/>
    <w:rsid w:val="007F4A78"/>
    <w:rsid w:val="008118D6"/>
    <w:rsid w:val="00822E12"/>
    <w:rsid w:val="0082485B"/>
    <w:rsid w:val="0083404D"/>
    <w:rsid w:val="00835337"/>
    <w:rsid w:val="00846669"/>
    <w:rsid w:val="00853521"/>
    <w:rsid w:val="008547FD"/>
    <w:rsid w:val="00867DD4"/>
    <w:rsid w:val="00875FE9"/>
    <w:rsid w:val="008764C3"/>
    <w:rsid w:val="00877116"/>
    <w:rsid w:val="00880544"/>
    <w:rsid w:val="0088341A"/>
    <w:rsid w:val="008903BA"/>
    <w:rsid w:val="00895E81"/>
    <w:rsid w:val="008A5523"/>
    <w:rsid w:val="008A5BB0"/>
    <w:rsid w:val="008C4CDE"/>
    <w:rsid w:val="008C63A8"/>
    <w:rsid w:val="008D2BA3"/>
    <w:rsid w:val="008D50E3"/>
    <w:rsid w:val="008E2369"/>
    <w:rsid w:val="008E304E"/>
    <w:rsid w:val="008F1A51"/>
    <w:rsid w:val="008F33FE"/>
    <w:rsid w:val="008F41E3"/>
    <w:rsid w:val="008F4D8D"/>
    <w:rsid w:val="00900EF7"/>
    <w:rsid w:val="00907F1A"/>
    <w:rsid w:val="00912D6C"/>
    <w:rsid w:val="009142DC"/>
    <w:rsid w:val="0091458A"/>
    <w:rsid w:val="009207F2"/>
    <w:rsid w:val="00924FFA"/>
    <w:rsid w:val="00932041"/>
    <w:rsid w:val="00932399"/>
    <w:rsid w:val="009342AE"/>
    <w:rsid w:val="0095076F"/>
    <w:rsid w:val="00952FBC"/>
    <w:rsid w:val="00955ABC"/>
    <w:rsid w:val="00956EA3"/>
    <w:rsid w:val="00957C95"/>
    <w:rsid w:val="009619DA"/>
    <w:rsid w:val="009647FA"/>
    <w:rsid w:val="00964834"/>
    <w:rsid w:val="00970CF1"/>
    <w:rsid w:val="0097135A"/>
    <w:rsid w:val="00974348"/>
    <w:rsid w:val="00974CA8"/>
    <w:rsid w:val="00992860"/>
    <w:rsid w:val="00993F83"/>
    <w:rsid w:val="00995287"/>
    <w:rsid w:val="009A28AA"/>
    <w:rsid w:val="009A6032"/>
    <w:rsid w:val="009B0080"/>
    <w:rsid w:val="009B0317"/>
    <w:rsid w:val="009B2E3A"/>
    <w:rsid w:val="009B5848"/>
    <w:rsid w:val="009B6669"/>
    <w:rsid w:val="009C0F4A"/>
    <w:rsid w:val="009C3F86"/>
    <w:rsid w:val="009C4074"/>
    <w:rsid w:val="009C5CE3"/>
    <w:rsid w:val="009D004C"/>
    <w:rsid w:val="009D1C35"/>
    <w:rsid w:val="009E00C8"/>
    <w:rsid w:val="009E3F61"/>
    <w:rsid w:val="009E3FA6"/>
    <w:rsid w:val="009E7AE7"/>
    <w:rsid w:val="009E7F0F"/>
    <w:rsid w:val="009F3BE8"/>
    <w:rsid w:val="00A055BD"/>
    <w:rsid w:val="00A100A6"/>
    <w:rsid w:val="00A15EBF"/>
    <w:rsid w:val="00A15FD3"/>
    <w:rsid w:val="00A1614B"/>
    <w:rsid w:val="00A23F77"/>
    <w:rsid w:val="00A313B2"/>
    <w:rsid w:val="00A4000F"/>
    <w:rsid w:val="00A552B9"/>
    <w:rsid w:val="00A568E7"/>
    <w:rsid w:val="00A5718F"/>
    <w:rsid w:val="00A61BBE"/>
    <w:rsid w:val="00A668F9"/>
    <w:rsid w:val="00A66AF1"/>
    <w:rsid w:val="00A7207F"/>
    <w:rsid w:val="00A72227"/>
    <w:rsid w:val="00A74CE8"/>
    <w:rsid w:val="00A756E9"/>
    <w:rsid w:val="00A77AAC"/>
    <w:rsid w:val="00A809A7"/>
    <w:rsid w:val="00A87C61"/>
    <w:rsid w:val="00A900F3"/>
    <w:rsid w:val="00A92210"/>
    <w:rsid w:val="00A94C0D"/>
    <w:rsid w:val="00A976C4"/>
    <w:rsid w:val="00A97E3A"/>
    <w:rsid w:val="00AA145B"/>
    <w:rsid w:val="00AA46F6"/>
    <w:rsid w:val="00AB4869"/>
    <w:rsid w:val="00AB6DCE"/>
    <w:rsid w:val="00AC0477"/>
    <w:rsid w:val="00AC16FC"/>
    <w:rsid w:val="00AC6D20"/>
    <w:rsid w:val="00AD0809"/>
    <w:rsid w:val="00AD3701"/>
    <w:rsid w:val="00AD3A57"/>
    <w:rsid w:val="00AD63B9"/>
    <w:rsid w:val="00AE276B"/>
    <w:rsid w:val="00AE76C7"/>
    <w:rsid w:val="00AF6316"/>
    <w:rsid w:val="00AF71DD"/>
    <w:rsid w:val="00B020BE"/>
    <w:rsid w:val="00B02B6E"/>
    <w:rsid w:val="00B06131"/>
    <w:rsid w:val="00B07AD5"/>
    <w:rsid w:val="00B07B95"/>
    <w:rsid w:val="00B13108"/>
    <w:rsid w:val="00B134AB"/>
    <w:rsid w:val="00B1656F"/>
    <w:rsid w:val="00B26C96"/>
    <w:rsid w:val="00B3454D"/>
    <w:rsid w:val="00B345C2"/>
    <w:rsid w:val="00B35D6E"/>
    <w:rsid w:val="00B376D6"/>
    <w:rsid w:val="00B4449B"/>
    <w:rsid w:val="00B466AC"/>
    <w:rsid w:val="00B50A2E"/>
    <w:rsid w:val="00B50B38"/>
    <w:rsid w:val="00B53BA6"/>
    <w:rsid w:val="00B546E4"/>
    <w:rsid w:val="00B63284"/>
    <w:rsid w:val="00B63FFE"/>
    <w:rsid w:val="00B74260"/>
    <w:rsid w:val="00B81F37"/>
    <w:rsid w:val="00B83AF9"/>
    <w:rsid w:val="00B85CEF"/>
    <w:rsid w:val="00B907DD"/>
    <w:rsid w:val="00B95F2B"/>
    <w:rsid w:val="00BA1D11"/>
    <w:rsid w:val="00BA4AE1"/>
    <w:rsid w:val="00BA7969"/>
    <w:rsid w:val="00BB3AFB"/>
    <w:rsid w:val="00BB5D17"/>
    <w:rsid w:val="00BE1397"/>
    <w:rsid w:val="00BE14FF"/>
    <w:rsid w:val="00BE3D98"/>
    <w:rsid w:val="00BE5612"/>
    <w:rsid w:val="00BF7087"/>
    <w:rsid w:val="00C05419"/>
    <w:rsid w:val="00C058DD"/>
    <w:rsid w:val="00C1020F"/>
    <w:rsid w:val="00C10E2F"/>
    <w:rsid w:val="00C131A6"/>
    <w:rsid w:val="00C13946"/>
    <w:rsid w:val="00C149F1"/>
    <w:rsid w:val="00C2042C"/>
    <w:rsid w:val="00C20FC8"/>
    <w:rsid w:val="00C22828"/>
    <w:rsid w:val="00C228BD"/>
    <w:rsid w:val="00C24254"/>
    <w:rsid w:val="00C24E0C"/>
    <w:rsid w:val="00C25DA0"/>
    <w:rsid w:val="00C32BFE"/>
    <w:rsid w:val="00C33F4F"/>
    <w:rsid w:val="00C35583"/>
    <w:rsid w:val="00C3604B"/>
    <w:rsid w:val="00C37C44"/>
    <w:rsid w:val="00C4242D"/>
    <w:rsid w:val="00C45A09"/>
    <w:rsid w:val="00C52B09"/>
    <w:rsid w:val="00C54A95"/>
    <w:rsid w:val="00C55971"/>
    <w:rsid w:val="00C565FA"/>
    <w:rsid w:val="00C61199"/>
    <w:rsid w:val="00C74A11"/>
    <w:rsid w:val="00C752F9"/>
    <w:rsid w:val="00C768C9"/>
    <w:rsid w:val="00C873FB"/>
    <w:rsid w:val="00C91E48"/>
    <w:rsid w:val="00C91FA6"/>
    <w:rsid w:val="00C927BE"/>
    <w:rsid w:val="00C97D4E"/>
    <w:rsid w:val="00CA0A91"/>
    <w:rsid w:val="00CA30EE"/>
    <w:rsid w:val="00CA4087"/>
    <w:rsid w:val="00CB2CD3"/>
    <w:rsid w:val="00CB2FD6"/>
    <w:rsid w:val="00CB774B"/>
    <w:rsid w:val="00CC5F35"/>
    <w:rsid w:val="00CD1FCA"/>
    <w:rsid w:val="00CE1FAF"/>
    <w:rsid w:val="00CF3AD4"/>
    <w:rsid w:val="00CF3B25"/>
    <w:rsid w:val="00CF476B"/>
    <w:rsid w:val="00CF5EC0"/>
    <w:rsid w:val="00D06332"/>
    <w:rsid w:val="00D073FD"/>
    <w:rsid w:val="00D100EC"/>
    <w:rsid w:val="00D133A5"/>
    <w:rsid w:val="00D13414"/>
    <w:rsid w:val="00D17EC1"/>
    <w:rsid w:val="00D22CD9"/>
    <w:rsid w:val="00D249BC"/>
    <w:rsid w:val="00D31B44"/>
    <w:rsid w:val="00D37321"/>
    <w:rsid w:val="00D379FA"/>
    <w:rsid w:val="00D40166"/>
    <w:rsid w:val="00D407F1"/>
    <w:rsid w:val="00D42F33"/>
    <w:rsid w:val="00D43CBA"/>
    <w:rsid w:val="00D4428E"/>
    <w:rsid w:val="00D45AEB"/>
    <w:rsid w:val="00D507A0"/>
    <w:rsid w:val="00D519FB"/>
    <w:rsid w:val="00D64634"/>
    <w:rsid w:val="00D6648F"/>
    <w:rsid w:val="00D70E13"/>
    <w:rsid w:val="00D722D8"/>
    <w:rsid w:val="00D75909"/>
    <w:rsid w:val="00D75A62"/>
    <w:rsid w:val="00D86F9D"/>
    <w:rsid w:val="00D87062"/>
    <w:rsid w:val="00D93FE9"/>
    <w:rsid w:val="00D95799"/>
    <w:rsid w:val="00D96355"/>
    <w:rsid w:val="00D97658"/>
    <w:rsid w:val="00DA1817"/>
    <w:rsid w:val="00DA26E5"/>
    <w:rsid w:val="00DA6810"/>
    <w:rsid w:val="00DB6E52"/>
    <w:rsid w:val="00DC0AF5"/>
    <w:rsid w:val="00DC3423"/>
    <w:rsid w:val="00DC7C39"/>
    <w:rsid w:val="00DD4356"/>
    <w:rsid w:val="00DD57CC"/>
    <w:rsid w:val="00DD57D4"/>
    <w:rsid w:val="00DE0E69"/>
    <w:rsid w:val="00DF0380"/>
    <w:rsid w:val="00DF4B55"/>
    <w:rsid w:val="00DF4C7C"/>
    <w:rsid w:val="00DF5562"/>
    <w:rsid w:val="00E03194"/>
    <w:rsid w:val="00E066A4"/>
    <w:rsid w:val="00E078BE"/>
    <w:rsid w:val="00E137BD"/>
    <w:rsid w:val="00E14823"/>
    <w:rsid w:val="00E206FB"/>
    <w:rsid w:val="00E207D9"/>
    <w:rsid w:val="00E20B83"/>
    <w:rsid w:val="00E21AE1"/>
    <w:rsid w:val="00E25651"/>
    <w:rsid w:val="00E26CB4"/>
    <w:rsid w:val="00E274BF"/>
    <w:rsid w:val="00E35EED"/>
    <w:rsid w:val="00E43FE4"/>
    <w:rsid w:val="00E47DD1"/>
    <w:rsid w:val="00E56D42"/>
    <w:rsid w:val="00E61CCC"/>
    <w:rsid w:val="00E62629"/>
    <w:rsid w:val="00E6460B"/>
    <w:rsid w:val="00E64C38"/>
    <w:rsid w:val="00E65158"/>
    <w:rsid w:val="00E65746"/>
    <w:rsid w:val="00E6728D"/>
    <w:rsid w:val="00E71CDE"/>
    <w:rsid w:val="00E724DA"/>
    <w:rsid w:val="00E7277B"/>
    <w:rsid w:val="00E75CC8"/>
    <w:rsid w:val="00E76C5F"/>
    <w:rsid w:val="00E8478E"/>
    <w:rsid w:val="00E8676D"/>
    <w:rsid w:val="00E9670D"/>
    <w:rsid w:val="00E96D62"/>
    <w:rsid w:val="00EA0DCE"/>
    <w:rsid w:val="00EA17BE"/>
    <w:rsid w:val="00EA3B80"/>
    <w:rsid w:val="00EA3D19"/>
    <w:rsid w:val="00EA6EA2"/>
    <w:rsid w:val="00EB2331"/>
    <w:rsid w:val="00EB2A6A"/>
    <w:rsid w:val="00EB3F8E"/>
    <w:rsid w:val="00EB70CD"/>
    <w:rsid w:val="00EB7A8C"/>
    <w:rsid w:val="00EC18BD"/>
    <w:rsid w:val="00EC1E7D"/>
    <w:rsid w:val="00EC41CD"/>
    <w:rsid w:val="00EC7D7B"/>
    <w:rsid w:val="00ED0A9D"/>
    <w:rsid w:val="00ED4652"/>
    <w:rsid w:val="00ED7373"/>
    <w:rsid w:val="00EE1DCC"/>
    <w:rsid w:val="00EE5036"/>
    <w:rsid w:val="00EE6657"/>
    <w:rsid w:val="00EE70D0"/>
    <w:rsid w:val="00EF59B0"/>
    <w:rsid w:val="00EF7E4A"/>
    <w:rsid w:val="00F00A02"/>
    <w:rsid w:val="00F01758"/>
    <w:rsid w:val="00F01B00"/>
    <w:rsid w:val="00F0236C"/>
    <w:rsid w:val="00F03437"/>
    <w:rsid w:val="00F105A1"/>
    <w:rsid w:val="00F114DE"/>
    <w:rsid w:val="00F11995"/>
    <w:rsid w:val="00F164B0"/>
    <w:rsid w:val="00F2344A"/>
    <w:rsid w:val="00F26542"/>
    <w:rsid w:val="00F30068"/>
    <w:rsid w:val="00F40798"/>
    <w:rsid w:val="00F44926"/>
    <w:rsid w:val="00F50287"/>
    <w:rsid w:val="00F50DC1"/>
    <w:rsid w:val="00F572B2"/>
    <w:rsid w:val="00F5768D"/>
    <w:rsid w:val="00F57746"/>
    <w:rsid w:val="00F62F57"/>
    <w:rsid w:val="00F63570"/>
    <w:rsid w:val="00F64ADD"/>
    <w:rsid w:val="00F64F20"/>
    <w:rsid w:val="00F65C4A"/>
    <w:rsid w:val="00F72CBB"/>
    <w:rsid w:val="00F74C9D"/>
    <w:rsid w:val="00F8233E"/>
    <w:rsid w:val="00F86091"/>
    <w:rsid w:val="00F86B56"/>
    <w:rsid w:val="00F871F7"/>
    <w:rsid w:val="00F879F2"/>
    <w:rsid w:val="00F90ED3"/>
    <w:rsid w:val="00F9797D"/>
    <w:rsid w:val="00FA577A"/>
    <w:rsid w:val="00FA58A4"/>
    <w:rsid w:val="00FB24AC"/>
    <w:rsid w:val="00FB59E3"/>
    <w:rsid w:val="00FC4D8F"/>
    <w:rsid w:val="00FC4EF9"/>
    <w:rsid w:val="00FC4F42"/>
    <w:rsid w:val="00FD0F1A"/>
    <w:rsid w:val="00FD30A2"/>
    <w:rsid w:val="00FE288B"/>
    <w:rsid w:val="00FE535D"/>
    <w:rsid w:val="00FE684A"/>
    <w:rsid w:val="00FF036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7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D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E1D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1DCC"/>
    <w:rPr>
      <w:rFonts w:ascii="Arial" w:eastAsia="Times New Roman" w:hAnsi="Arial" w:cs="Arial"/>
      <w:b/>
      <w:bCs/>
      <w:sz w:val="26"/>
      <w:szCs w:val="26"/>
    </w:rPr>
  </w:style>
  <w:style w:type="paragraph" w:styleId="Footer">
    <w:name w:val="footer"/>
    <w:basedOn w:val="Normal"/>
    <w:link w:val="FooterChar"/>
    <w:rsid w:val="00EE1DCC"/>
    <w:pPr>
      <w:tabs>
        <w:tab w:val="center" w:pos="4320"/>
        <w:tab w:val="right" w:pos="8640"/>
      </w:tabs>
    </w:pPr>
  </w:style>
  <w:style w:type="character" w:customStyle="1" w:styleId="FooterChar">
    <w:name w:val="Footer Char"/>
    <w:basedOn w:val="DefaultParagraphFont"/>
    <w:link w:val="Footer"/>
    <w:rsid w:val="00EE1DCC"/>
    <w:rPr>
      <w:rFonts w:ascii="Times New Roman" w:eastAsia="Times New Roman" w:hAnsi="Times New Roman" w:cs="Times New Roman"/>
      <w:sz w:val="24"/>
      <w:szCs w:val="20"/>
    </w:rPr>
  </w:style>
  <w:style w:type="character" w:styleId="PageNumber">
    <w:name w:val="page number"/>
    <w:basedOn w:val="DefaultParagraphFont"/>
    <w:rsid w:val="00EE1DCC"/>
  </w:style>
  <w:style w:type="paragraph" w:customStyle="1" w:styleId="p3">
    <w:name w:val="p3"/>
    <w:basedOn w:val="Normal"/>
    <w:rsid w:val="00EE1DCC"/>
    <w:pPr>
      <w:widowControl w:val="0"/>
      <w:tabs>
        <w:tab w:val="left" w:pos="204"/>
      </w:tabs>
      <w:overflowPunct/>
      <w:textAlignment w:val="auto"/>
    </w:pPr>
    <w:rPr>
      <w:szCs w:val="24"/>
    </w:rPr>
  </w:style>
  <w:style w:type="paragraph" w:customStyle="1" w:styleId="p14">
    <w:name w:val="p14"/>
    <w:basedOn w:val="Normal"/>
    <w:rsid w:val="00EE1DCC"/>
    <w:pPr>
      <w:widowControl w:val="0"/>
      <w:tabs>
        <w:tab w:val="left" w:pos="204"/>
      </w:tabs>
      <w:overflowPunct/>
      <w:textAlignment w:val="auto"/>
    </w:pPr>
    <w:rPr>
      <w:szCs w:val="24"/>
    </w:rPr>
  </w:style>
  <w:style w:type="paragraph" w:customStyle="1" w:styleId="p17">
    <w:name w:val="p17"/>
    <w:basedOn w:val="Normal"/>
    <w:rsid w:val="00EE1DCC"/>
    <w:pPr>
      <w:widowControl w:val="0"/>
      <w:tabs>
        <w:tab w:val="left" w:pos="5057"/>
      </w:tabs>
      <w:overflowPunct/>
      <w:ind w:left="3617"/>
      <w:textAlignment w:val="auto"/>
    </w:pPr>
    <w:rPr>
      <w:szCs w:val="24"/>
    </w:rPr>
  </w:style>
  <w:style w:type="paragraph" w:customStyle="1" w:styleId="p18">
    <w:name w:val="p18"/>
    <w:basedOn w:val="Normal"/>
    <w:rsid w:val="00EE1DCC"/>
    <w:pPr>
      <w:widowControl w:val="0"/>
      <w:tabs>
        <w:tab w:val="left" w:pos="5062"/>
      </w:tabs>
      <w:overflowPunct/>
      <w:ind w:left="3622"/>
      <w:textAlignment w:val="auto"/>
    </w:pPr>
    <w:rPr>
      <w:szCs w:val="24"/>
    </w:rPr>
  </w:style>
  <w:style w:type="paragraph" w:customStyle="1" w:styleId="StyleCentered">
    <w:name w:val="Style Centered"/>
    <w:basedOn w:val="Normal"/>
    <w:rsid w:val="00EE1DCC"/>
    <w:pPr>
      <w:jc w:val="center"/>
    </w:pPr>
  </w:style>
  <w:style w:type="paragraph" w:styleId="FootnoteText">
    <w:name w:val="footnote text"/>
    <w:basedOn w:val="Normal"/>
    <w:link w:val="FootnoteTextChar"/>
    <w:uiPriority w:val="99"/>
    <w:semiHidden/>
    <w:unhideWhenUsed/>
    <w:rsid w:val="00880544"/>
    <w:rPr>
      <w:sz w:val="20"/>
    </w:rPr>
  </w:style>
  <w:style w:type="character" w:customStyle="1" w:styleId="FootnoteTextChar">
    <w:name w:val="Footnote Text Char"/>
    <w:basedOn w:val="DefaultParagraphFont"/>
    <w:link w:val="FootnoteText"/>
    <w:uiPriority w:val="99"/>
    <w:semiHidden/>
    <w:rsid w:val="0088054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80544"/>
    <w:rPr>
      <w:vertAlign w:val="superscript"/>
    </w:rPr>
  </w:style>
  <w:style w:type="paragraph" w:styleId="ListParagraph">
    <w:name w:val="List Paragraph"/>
    <w:basedOn w:val="Normal"/>
    <w:uiPriority w:val="34"/>
    <w:qFormat/>
    <w:rsid w:val="00D249BC"/>
    <w:pPr>
      <w:ind w:left="720"/>
      <w:contextualSpacing/>
    </w:pPr>
  </w:style>
  <w:style w:type="paragraph" w:styleId="BalloonText">
    <w:name w:val="Balloon Text"/>
    <w:basedOn w:val="Normal"/>
    <w:link w:val="BalloonTextChar"/>
    <w:uiPriority w:val="99"/>
    <w:semiHidden/>
    <w:unhideWhenUsed/>
    <w:rsid w:val="00595D86"/>
    <w:rPr>
      <w:rFonts w:ascii="Tahoma" w:hAnsi="Tahoma" w:cs="Tahoma"/>
      <w:sz w:val="16"/>
      <w:szCs w:val="16"/>
    </w:rPr>
  </w:style>
  <w:style w:type="character" w:customStyle="1" w:styleId="BalloonTextChar">
    <w:name w:val="Balloon Text Char"/>
    <w:basedOn w:val="DefaultParagraphFont"/>
    <w:link w:val="BalloonText"/>
    <w:uiPriority w:val="99"/>
    <w:semiHidden/>
    <w:rsid w:val="00595D86"/>
    <w:rPr>
      <w:rFonts w:ascii="Tahoma" w:eastAsia="Times New Roman" w:hAnsi="Tahoma" w:cs="Tahoma"/>
      <w:sz w:val="16"/>
      <w:szCs w:val="16"/>
    </w:rPr>
  </w:style>
  <w:style w:type="paragraph" w:styleId="Header">
    <w:name w:val="header"/>
    <w:basedOn w:val="Normal"/>
    <w:link w:val="HeaderChar"/>
    <w:uiPriority w:val="99"/>
    <w:unhideWhenUsed/>
    <w:rsid w:val="007E1369"/>
    <w:pPr>
      <w:tabs>
        <w:tab w:val="center" w:pos="4680"/>
        <w:tab w:val="right" w:pos="9360"/>
      </w:tabs>
    </w:pPr>
  </w:style>
  <w:style w:type="character" w:customStyle="1" w:styleId="HeaderChar">
    <w:name w:val="Header Char"/>
    <w:basedOn w:val="DefaultParagraphFont"/>
    <w:link w:val="Header"/>
    <w:uiPriority w:val="99"/>
    <w:rsid w:val="007E136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E1369"/>
    <w:rPr>
      <w:sz w:val="16"/>
      <w:szCs w:val="16"/>
    </w:rPr>
  </w:style>
  <w:style w:type="paragraph" w:styleId="CommentText">
    <w:name w:val="annotation text"/>
    <w:basedOn w:val="Normal"/>
    <w:link w:val="CommentTextChar"/>
    <w:uiPriority w:val="99"/>
    <w:semiHidden/>
    <w:unhideWhenUsed/>
    <w:rsid w:val="007E1369"/>
    <w:rPr>
      <w:sz w:val="20"/>
    </w:rPr>
  </w:style>
  <w:style w:type="character" w:customStyle="1" w:styleId="CommentTextChar">
    <w:name w:val="Comment Text Char"/>
    <w:basedOn w:val="DefaultParagraphFont"/>
    <w:link w:val="CommentText"/>
    <w:uiPriority w:val="99"/>
    <w:semiHidden/>
    <w:rsid w:val="007E13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1369"/>
    <w:rPr>
      <w:b/>
      <w:bCs/>
    </w:rPr>
  </w:style>
  <w:style w:type="character" w:customStyle="1" w:styleId="CommentSubjectChar">
    <w:name w:val="Comment Subject Char"/>
    <w:basedOn w:val="CommentTextChar"/>
    <w:link w:val="CommentSubject"/>
    <w:uiPriority w:val="99"/>
    <w:semiHidden/>
    <w:rsid w:val="007E136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72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4554">
      <w:bodyDiv w:val="1"/>
      <w:marLeft w:val="0"/>
      <w:marRight w:val="0"/>
      <w:marTop w:val="0"/>
      <w:marBottom w:val="0"/>
      <w:divBdr>
        <w:top w:val="none" w:sz="0" w:space="0" w:color="auto"/>
        <w:left w:val="none" w:sz="0" w:space="0" w:color="auto"/>
        <w:bottom w:val="none" w:sz="0" w:space="0" w:color="auto"/>
        <w:right w:val="none" w:sz="0" w:space="0" w:color="auto"/>
      </w:divBdr>
    </w:div>
    <w:div w:id="553351761">
      <w:bodyDiv w:val="1"/>
      <w:marLeft w:val="0"/>
      <w:marRight w:val="0"/>
      <w:marTop w:val="0"/>
      <w:marBottom w:val="0"/>
      <w:divBdr>
        <w:top w:val="none" w:sz="0" w:space="0" w:color="auto"/>
        <w:left w:val="none" w:sz="0" w:space="0" w:color="auto"/>
        <w:bottom w:val="none" w:sz="0" w:space="0" w:color="auto"/>
        <w:right w:val="none" w:sz="0" w:space="0" w:color="auto"/>
      </w:divBdr>
    </w:div>
    <w:div w:id="15743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DF01-481B-4534-9675-941AFA3724EE}">
  <ds:schemaRefs>
    <ds:schemaRef ds:uri="http://schemas.openxmlformats.org/officeDocument/2006/bibliography"/>
  </ds:schemaRefs>
</ds:datastoreItem>
</file>

<file path=customXml/itemProps2.xml><?xml version="1.0" encoding="utf-8"?>
<ds:datastoreItem xmlns:ds="http://schemas.openxmlformats.org/officeDocument/2006/customXml" ds:itemID="{87A0FDB2-559C-4661-98DF-2B7126D8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1809</Words>
  <Characters>10313</Characters>
  <Application>Microsoft Office Word</Application>
  <DocSecurity>4</DocSecurity>
  <Lines>85</Lines>
  <Paragraphs>24</Paragraphs>
  <ScaleCrop>false</ScaleCrop>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2021-11-18T16:10:00Z</dcterms:created>
  <dcterms:modified xsi:type="dcterms:W3CDTF">2021-11-18T16:10:00Z</dcterms:modified>
</cp:coreProperties>
</file>